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885FB1" w14:textId="77777777" w:rsidR="002E7572" w:rsidRDefault="002E7572"/>
    <w:p w14:paraId="7CCBB940" w14:textId="77777777" w:rsidR="002B52DE" w:rsidRDefault="002B52DE"/>
    <w:p w14:paraId="2E8ED60B" w14:textId="77777777" w:rsidR="00690776" w:rsidRPr="00690776" w:rsidRDefault="00690776" w:rsidP="00690776">
      <w:pPr>
        <w:rPr>
          <w:bCs/>
        </w:rPr>
      </w:pPr>
      <w:r w:rsidRPr="00690776">
        <w:rPr>
          <w:bCs/>
        </w:rPr>
        <w:t>Cristina Peñamarín</w:t>
      </w:r>
    </w:p>
    <w:p w14:paraId="001DD4E7" w14:textId="77777777" w:rsidR="008A7692" w:rsidRDefault="002B52DE" w:rsidP="00691B7B">
      <w:pPr>
        <w:rPr>
          <w:b/>
        </w:rPr>
      </w:pPr>
      <w:r w:rsidRPr="00690776">
        <w:rPr>
          <w:b/>
        </w:rPr>
        <w:t>Creatividad y transformación cultural. El dinamismo de los sistemas de significación.</w:t>
      </w:r>
      <w:r w:rsidR="00690776">
        <w:rPr>
          <w:b/>
        </w:rPr>
        <w:t xml:space="preserve">  </w:t>
      </w:r>
    </w:p>
    <w:p w14:paraId="38B63F56" w14:textId="0875EB74" w:rsidR="00690776" w:rsidRPr="00690776" w:rsidRDefault="005D44A1" w:rsidP="00691B7B">
      <w:pPr>
        <w:rPr>
          <w:b/>
        </w:rPr>
      </w:pPr>
      <w:r>
        <w:rPr>
          <w:bCs/>
          <w:lang w:val="it-IT"/>
        </w:rPr>
        <w:t>“</w:t>
      </w:r>
      <w:r w:rsidR="008A7692" w:rsidRPr="005D44A1">
        <w:rPr>
          <w:bCs/>
          <w:lang w:val="it-IT"/>
        </w:rPr>
        <w:t>Creatività e trasformazione culturale. Il dinamismo dei sistemi di significazione</w:t>
      </w:r>
      <w:r>
        <w:rPr>
          <w:bCs/>
          <w:lang w:val="it-IT"/>
        </w:rPr>
        <w:t>”,</w:t>
      </w:r>
      <w:r w:rsidR="00690776" w:rsidRPr="008A7692">
        <w:rPr>
          <w:b/>
          <w:lang w:val="it-IT"/>
        </w:rPr>
        <w:t xml:space="preserve">  </w:t>
      </w:r>
      <w:r w:rsidR="00690776" w:rsidRPr="008A7692">
        <w:rPr>
          <w:i/>
          <w:lang w:val="it-IT"/>
        </w:rPr>
        <w:t xml:space="preserve">VS. Versus. </w:t>
      </w:r>
      <w:r w:rsidR="00690776" w:rsidRPr="00AC303A">
        <w:rPr>
          <w:i/>
        </w:rPr>
        <w:t xml:space="preserve">Quaderni di studi semiotici, </w:t>
      </w:r>
      <w:r w:rsidR="00690776" w:rsidRPr="00AC303A">
        <w:t>121, 2015</w:t>
      </w:r>
    </w:p>
    <w:p w14:paraId="42A889D4" w14:textId="77777777" w:rsidR="00690776" w:rsidRPr="00690776" w:rsidRDefault="00690776" w:rsidP="00A5101F">
      <w:pPr>
        <w:rPr>
          <w:bCs/>
        </w:rPr>
      </w:pPr>
    </w:p>
    <w:p w14:paraId="56BC5DB6" w14:textId="77777777" w:rsidR="002B52DE" w:rsidRPr="00690776" w:rsidRDefault="002B52DE" w:rsidP="00A5101F">
      <w:r w:rsidRPr="00690776">
        <w:rPr>
          <w:bCs/>
        </w:rPr>
        <w:t xml:space="preserve">Me propongo abordar cómo </w:t>
      </w:r>
      <w:r w:rsidR="00691B7B" w:rsidRPr="00690776">
        <w:rPr>
          <w:bCs/>
        </w:rPr>
        <w:t>puede colaborar</w:t>
      </w:r>
      <w:r w:rsidRPr="00690776">
        <w:rPr>
          <w:bCs/>
        </w:rPr>
        <w:t xml:space="preserve"> la semiótica </w:t>
      </w:r>
      <w:r w:rsidR="00691B7B" w:rsidRPr="00690776">
        <w:rPr>
          <w:bCs/>
        </w:rPr>
        <w:t>con</w:t>
      </w:r>
      <w:r w:rsidR="0057399E" w:rsidRPr="00690776">
        <w:rPr>
          <w:bCs/>
        </w:rPr>
        <w:t xml:space="preserve"> las ciencias sociales y en particular a</w:t>
      </w:r>
      <w:r w:rsidRPr="00690776">
        <w:rPr>
          <w:bCs/>
        </w:rPr>
        <w:t xml:space="preserve"> los estudios </w:t>
      </w:r>
      <w:r w:rsidR="0057399E" w:rsidRPr="00690776">
        <w:rPr>
          <w:bCs/>
        </w:rPr>
        <w:t>sobre</w:t>
      </w:r>
      <w:r w:rsidRPr="00690776">
        <w:rPr>
          <w:bCs/>
        </w:rPr>
        <w:t xml:space="preserve"> comunicación y cultura </w:t>
      </w:r>
      <w:r w:rsidR="0057399E" w:rsidRPr="00690776">
        <w:rPr>
          <w:bCs/>
        </w:rPr>
        <w:t>o, más concretamente, sobre c</w:t>
      </w:r>
      <w:r w:rsidRPr="00690776">
        <w:rPr>
          <w:bCs/>
        </w:rPr>
        <w:t>omunicación y conflicto intercultural.</w:t>
      </w:r>
      <w:r w:rsidR="0057399E" w:rsidRPr="00690776">
        <w:rPr>
          <w:bCs/>
        </w:rPr>
        <w:t xml:space="preserve"> </w:t>
      </w:r>
      <w:r w:rsidR="0057399E" w:rsidRPr="00690776">
        <w:t xml:space="preserve">Este interés conecta con trabajos tempranos en semiótica, por ejemplo de Greimas en </w:t>
      </w:r>
      <w:r w:rsidR="0057399E" w:rsidRPr="00690776">
        <w:rPr>
          <w:i/>
        </w:rPr>
        <w:t>Sémiotique et sciences sociales</w:t>
      </w:r>
      <w:r w:rsidR="0057399E" w:rsidRPr="00690776">
        <w:t xml:space="preserve"> (1976), con aportaciones fundamentales del Eco del Trattato de 1975 y de </w:t>
      </w:r>
      <w:r w:rsidR="0057399E" w:rsidRPr="00690776">
        <w:rPr>
          <w:i/>
        </w:rPr>
        <w:t>Semiotica e filosofia del linguaggio</w:t>
      </w:r>
      <w:r w:rsidR="0057399E" w:rsidRPr="00690776">
        <w:t xml:space="preserve"> de 1984,  entre otros, </w:t>
      </w:r>
      <w:r w:rsidR="00173C29" w:rsidRPr="00690776">
        <w:t xml:space="preserve">si bien estos </w:t>
      </w:r>
      <w:r w:rsidR="0057399E" w:rsidRPr="00690776">
        <w:t xml:space="preserve">trabajos sugieren perspectivas de investigación que no han tenido continuidad en los estudios semióticos europeos. </w:t>
      </w:r>
      <w:r w:rsidR="00A5101F" w:rsidRPr="00690776">
        <w:t>A la altura de 2015</w:t>
      </w:r>
      <w:r w:rsidR="0057399E" w:rsidRPr="00690776">
        <w:t xml:space="preserve">, es clara la preocupación por la escasa relación entre la semiótica y las ciencias sociales que marca el texto de Fontanille (2015).   </w:t>
      </w:r>
    </w:p>
    <w:p w14:paraId="1363E4D7" w14:textId="77777777" w:rsidR="00C84676" w:rsidRPr="00690776" w:rsidRDefault="00C84676" w:rsidP="000129E0">
      <w:r w:rsidRPr="00690776">
        <w:t>Esta cuestión nos ha de llevar a preguntarnos por los conceptos que la semiótica podría aportar a las ciencias s</w:t>
      </w:r>
      <w:r w:rsidR="000129E0" w:rsidRPr="00690776">
        <w:t>ociales, o compartir con ellas,</w:t>
      </w:r>
      <w:r w:rsidRPr="00690776">
        <w:t xml:space="preserve"> a indagar si la semiótica ofrece una perspectiva sobre las relaciones humanas como relaciones en las que se </w:t>
      </w:r>
      <w:r w:rsidR="000129E0" w:rsidRPr="00690776">
        <w:t>capta</w:t>
      </w:r>
      <w:r w:rsidRPr="00690776">
        <w:t xml:space="preserve"> y se elabora el sentido enriquecedora para otras disciplinas. Pero podemos centrar esta indagación en las preguntas que se hacen la semiótica y las ciencias sociales (lo que nos llevará a considera</w:t>
      </w:r>
      <w:r w:rsidR="00EB1B5E" w:rsidRPr="00690776">
        <w:t>r</w:t>
      </w:r>
      <w:r w:rsidRPr="00690776">
        <w:t xml:space="preserve"> también sus conceptos</w:t>
      </w:r>
      <w:r w:rsidR="00A5101F" w:rsidRPr="00690776">
        <w:t>, métodos</w:t>
      </w:r>
      <w:r w:rsidRPr="00690776">
        <w:t xml:space="preserve"> y perspectivas): qué objetos persiguen, cómo los construyen y los hacen observables</w:t>
      </w:r>
      <w:r w:rsidR="000129E0" w:rsidRPr="00690776">
        <w:t xml:space="preserve"> y si p</w:t>
      </w:r>
      <w:r w:rsidRPr="00690776">
        <w:t xml:space="preserve">ueden la semiótica y las ciencias sociales </w:t>
      </w:r>
      <w:r w:rsidR="000129E0" w:rsidRPr="00690776">
        <w:t>compartir preguntas.</w:t>
      </w:r>
    </w:p>
    <w:p w14:paraId="7A4EB7C9" w14:textId="77777777" w:rsidR="002B52DE" w:rsidRPr="00690776" w:rsidRDefault="00FD6C1D" w:rsidP="00FD6C1D">
      <w:r w:rsidRPr="00690776">
        <w:t>Mencionaré en primer lugar</w:t>
      </w:r>
      <w:r w:rsidR="00C84676" w:rsidRPr="00690776">
        <w:t xml:space="preserve"> las </w:t>
      </w:r>
      <w:r w:rsidR="00BE0638" w:rsidRPr="00690776">
        <w:t>cuestiones que</w:t>
      </w:r>
      <w:r w:rsidRPr="00690776">
        <w:t xml:space="preserve"> se plantean</w:t>
      </w:r>
      <w:r w:rsidR="00C84676" w:rsidRPr="00690776">
        <w:t xml:space="preserve"> en los estudios sobre comunica</w:t>
      </w:r>
      <w:r w:rsidR="00322CFB" w:rsidRPr="00690776">
        <w:t xml:space="preserve">ción y conflicto intercultural </w:t>
      </w:r>
      <w:r w:rsidRPr="00690776">
        <w:t>que incorporan una perspectiva</w:t>
      </w:r>
      <w:r w:rsidR="00322CFB" w:rsidRPr="00690776">
        <w:t xml:space="preserve"> semiótica</w:t>
      </w:r>
      <w:r w:rsidR="00C84676" w:rsidRPr="00690776">
        <w:t xml:space="preserve">. </w:t>
      </w:r>
      <w:r w:rsidR="002B52DE" w:rsidRPr="00690776">
        <w:rPr>
          <w:bCs/>
        </w:rPr>
        <w:t>Estudiamos relaciones cotidianas</w:t>
      </w:r>
      <w:r w:rsidR="0057399E" w:rsidRPr="00690776">
        <w:rPr>
          <w:bCs/>
        </w:rPr>
        <w:t xml:space="preserve"> en las que se manifiesta la diversidad lingüística y cultural</w:t>
      </w:r>
      <w:r w:rsidR="00F8436B" w:rsidRPr="00690776">
        <w:rPr>
          <w:bCs/>
        </w:rPr>
        <w:t xml:space="preserve">. </w:t>
      </w:r>
      <w:r w:rsidR="00C84676" w:rsidRPr="00690776">
        <w:rPr>
          <w:bCs/>
        </w:rPr>
        <w:t>¿Es esta diversidad una particularidad de ciertas relaciones comunicativas? Como sabemos desde Eco 1975,</w:t>
      </w:r>
      <w:r w:rsidR="00D864A7" w:rsidRPr="00690776">
        <w:rPr>
          <w:bCs/>
        </w:rPr>
        <w:t xml:space="preserve"> </w:t>
      </w:r>
      <w:r w:rsidR="00F8436B" w:rsidRPr="00690776">
        <w:rPr>
          <w:bCs/>
        </w:rPr>
        <w:t xml:space="preserve">en todo encuentro comunicativo, emisor y receptor, en principio poseen sistemas interpretativos </w:t>
      </w:r>
      <w:r w:rsidR="00C84676" w:rsidRPr="00690776">
        <w:rPr>
          <w:bCs/>
        </w:rPr>
        <w:t>(códigos y subcódigos, se decía entonces)</w:t>
      </w:r>
      <w:r w:rsidR="00F8436B" w:rsidRPr="00690776">
        <w:rPr>
          <w:bCs/>
        </w:rPr>
        <w:t xml:space="preserve"> </w:t>
      </w:r>
      <w:r w:rsidR="000F066F" w:rsidRPr="00690776">
        <w:rPr>
          <w:bCs/>
        </w:rPr>
        <w:t xml:space="preserve">diferentes, </w:t>
      </w:r>
      <w:r w:rsidR="00F8436B" w:rsidRPr="00690776">
        <w:rPr>
          <w:bCs/>
        </w:rPr>
        <w:t xml:space="preserve">por lo que aquello que el emisor trató de comunicar no es </w:t>
      </w:r>
      <w:r w:rsidR="000F066F" w:rsidRPr="00690776">
        <w:rPr>
          <w:bCs/>
        </w:rPr>
        <w:t>idéntico a lo</w:t>
      </w:r>
      <w:r w:rsidR="00C84676" w:rsidRPr="00690776">
        <w:rPr>
          <w:bCs/>
        </w:rPr>
        <w:t xml:space="preserve"> que el receptor </w:t>
      </w:r>
      <w:r w:rsidR="000F066F" w:rsidRPr="00690776">
        <w:rPr>
          <w:bCs/>
        </w:rPr>
        <w:t>comprende</w:t>
      </w:r>
      <w:r w:rsidR="00F8436B" w:rsidRPr="00690776">
        <w:rPr>
          <w:bCs/>
        </w:rPr>
        <w:t xml:space="preserve">. Por </w:t>
      </w:r>
      <w:r w:rsidR="000129E0" w:rsidRPr="00690776">
        <w:rPr>
          <w:bCs/>
        </w:rPr>
        <w:t>tanto</w:t>
      </w:r>
      <w:r w:rsidR="00F8436B" w:rsidRPr="00690776">
        <w:rPr>
          <w:bCs/>
        </w:rPr>
        <w:t xml:space="preserve"> entendemos </w:t>
      </w:r>
      <w:r w:rsidR="002B52DE" w:rsidRPr="00690776">
        <w:rPr>
          <w:bCs/>
        </w:rPr>
        <w:t>qu</w:t>
      </w:r>
      <w:r w:rsidR="000F066F" w:rsidRPr="00690776">
        <w:rPr>
          <w:bCs/>
        </w:rPr>
        <w:t>e toda comunicación es en cierta</w:t>
      </w:r>
      <w:r w:rsidR="002B52DE" w:rsidRPr="00690776">
        <w:rPr>
          <w:bCs/>
        </w:rPr>
        <w:t xml:space="preserve"> </w:t>
      </w:r>
      <w:r w:rsidR="000F066F" w:rsidRPr="00690776">
        <w:rPr>
          <w:bCs/>
        </w:rPr>
        <w:t>forma</w:t>
      </w:r>
      <w:r w:rsidR="002B52DE" w:rsidRPr="00690776">
        <w:rPr>
          <w:bCs/>
        </w:rPr>
        <w:t xml:space="preserve"> intercultural</w:t>
      </w:r>
      <w:r w:rsidR="00F8436B" w:rsidRPr="00690776">
        <w:rPr>
          <w:bCs/>
        </w:rPr>
        <w:t xml:space="preserve"> y </w:t>
      </w:r>
      <w:r w:rsidR="000129E0" w:rsidRPr="00690776">
        <w:rPr>
          <w:bCs/>
        </w:rPr>
        <w:t>estructuralmente generadora de</w:t>
      </w:r>
      <w:r w:rsidR="00F8436B" w:rsidRPr="00690776">
        <w:rPr>
          <w:bCs/>
        </w:rPr>
        <w:t xml:space="preserve"> malentendid</w:t>
      </w:r>
      <w:r w:rsidR="00322CFB" w:rsidRPr="00690776">
        <w:rPr>
          <w:bCs/>
        </w:rPr>
        <w:t>os</w:t>
      </w:r>
      <w:r w:rsidR="00F8436B" w:rsidRPr="00690776">
        <w:rPr>
          <w:bCs/>
        </w:rPr>
        <w:t>. A partir de este supuesto</w:t>
      </w:r>
      <w:r w:rsidR="00EB1B5E" w:rsidRPr="00690776">
        <w:rPr>
          <w:bCs/>
        </w:rPr>
        <w:t xml:space="preserve"> de diferencia entre los interlocutores</w:t>
      </w:r>
      <w:r w:rsidR="00F8436B" w:rsidRPr="00690776">
        <w:rPr>
          <w:bCs/>
        </w:rPr>
        <w:t>, n</w:t>
      </w:r>
      <w:r w:rsidR="002B52DE" w:rsidRPr="00690776">
        <w:rPr>
          <w:bCs/>
        </w:rPr>
        <w:t xml:space="preserve">os interesan en particular el conflicto y la negociación. Las situaciones de desencuentro, las formas en que los actores utilizan sus recursos semióticos para comunicar y construir sus relaciones, que a menudo implican desigualdad </w:t>
      </w:r>
      <w:r w:rsidR="00F77393" w:rsidRPr="00690776">
        <w:rPr>
          <w:bCs/>
        </w:rPr>
        <w:t>e</w:t>
      </w:r>
      <w:r w:rsidR="002B52DE" w:rsidRPr="00690776">
        <w:rPr>
          <w:bCs/>
        </w:rPr>
        <w:t xml:space="preserve"> intereses</w:t>
      </w:r>
      <w:r w:rsidR="00F77393" w:rsidRPr="00690776">
        <w:rPr>
          <w:bCs/>
        </w:rPr>
        <w:t xml:space="preserve"> divergentes</w:t>
      </w:r>
      <w:r w:rsidR="002B52DE" w:rsidRPr="00690776">
        <w:rPr>
          <w:bCs/>
        </w:rPr>
        <w:t>.</w:t>
      </w:r>
    </w:p>
    <w:p w14:paraId="38ED9640" w14:textId="77777777" w:rsidR="00F77393" w:rsidRPr="00690776" w:rsidRDefault="000F066F" w:rsidP="00EA0493">
      <w:pPr>
        <w:rPr>
          <w:bCs/>
        </w:rPr>
      </w:pPr>
      <w:r w:rsidRPr="00690776">
        <w:rPr>
          <w:bCs/>
        </w:rPr>
        <w:t>Pero sabemos</w:t>
      </w:r>
      <w:r w:rsidR="002B52DE" w:rsidRPr="00690776">
        <w:rPr>
          <w:bCs/>
        </w:rPr>
        <w:t xml:space="preserve"> que los sistemas de sentido no son recursos que</w:t>
      </w:r>
      <w:r w:rsidR="00215686" w:rsidRPr="00690776">
        <w:rPr>
          <w:bCs/>
        </w:rPr>
        <w:t xml:space="preserve"> </w:t>
      </w:r>
      <w:r w:rsidR="00A36712" w:rsidRPr="00690776">
        <w:rPr>
          <w:bCs/>
        </w:rPr>
        <w:t>utilizamos como hacemos con c</w:t>
      </w:r>
      <w:r w:rsidR="00322CFB" w:rsidRPr="00690776">
        <w:rPr>
          <w:bCs/>
        </w:rPr>
        <w:t>ualquier instrumento práctico, ya que p</w:t>
      </w:r>
      <w:r w:rsidR="00A36712" w:rsidRPr="00690776">
        <w:rPr>
          <w:bCs/>
        </w:rPr>
        <w:t>ensamos, nos damos sentido a nosotros mismos y al mundo a partir de sistemas de sentido que a menudo no sabríamos cómo</w:t>
      </w:r>
      <w:r w:rsidR="00700414" w:rsidRPr="00690776">
        <w:rPr>
          <w:bCs/>
        </w:rPr>
        <w:t xml:space="preserve"> cuestionar. </w:t>
      </w:r>
      <w:r w:rsidR="00F77393" w:rsidRPr="00690776">
        <w:rPr>
          <w:bCs/>
        </w:rPr>
        <w:t xml:space="preserve">Por eso los encuentros entre sujetos que poseen diferentes sistemas de sentido pueden </w:t>
      </w:r>
      <w:r w:rsidR="00EA0493" w:rsidRPr="00690776">
        <w:rPr>
          <w:bCs/>
        </w:rPr>
        <w:t xml:space="preserve">desestabilizar </w:t>
      </w:r>
      <w:r w:rsidR="00EA0493" w:rsidRPr="00690776">
        <w:rPr>
          <w:bCs/>
        </w:rPr>
        <w:lastRenderedPageBreak/>
        <w:t xml:space="preserve">aquello que daban por descontado y </w:t>
      </w:r>
      <w:r w:rsidR="00F77393" w:rsidRPr="00690776">
        <w:rPr>
          <w:bCs/>
        </w:rPr>
        <w:t>poner e</w:t>
      </w:r>
      <w:r w:rsidR="00EA0493" w:rsidRPr="00690776">
        <w:rPr>
          <w:bCs/>
        </w:rPr>
        <w:t>n riesgo a los propios sujetos</w:t>
      </w:r>
      <w:r w:rsidR="00F77393" w:rsidRPr="00690776">
        <w:rPr>
          <w:bCs/>
        </w:rPr>
        <w:t>.</w:t>
      </w:r>
      <w:r w:rsidR="00173C29" w:rsidRPr="00690776">
        <w:rPr>
          <w:bCs/>
        </w:rPr>
        <w:t xml:space="preserve"> Así, e</w:t>
      </w:r>
      <w:r w:rsidR="00BE0638" w:rsidRPr="00690776">
        <w:rPr>
          <w:bCs/>
        </w:rPr>
        <w:t>n l</w:t>
      </w:r>
      <w:r w:rsidR="00F77393" w:rsidRPr="00690776">
        <w:rPr>
          <w:bCs/>
        </w:rPr>
        <w:t xml:space="preserve">os encuentros entre diferentes y desiguales nos </w:t>
      </w:r>
      <w:r w:rsidR="00BE0638" w:rsidRPr="00690776">
        <w:rPr>
          <w:bCs/>
        </w:rPr>
        <w:t>preguntamos</w:t>
      </w:r>
      <w:r w:rsidR="00F77393" w:rsidRPr="00690776">
        <w:rPr>
          <w:bCs/>
        </w:rPr>
        <w:t xml:space="preserve"> cómo las estrategias de los sujetos</w:t>
      </w:r>
      <w:r w:rsidR="002738B7" w:rsidRPr="00690776">
        <w:rPr>
          <w:bCs/>
        </w:rPr>
        <w:t xml:space="preserve"> para construir sus relaciones consigo y con los otros ponen en juego esos sistemas de sentido</w:t>
      </w:r>
      <w:r w:rsidR="00E36FA5" w:rsidRPr="00690776">
        <w:rPr>
          <w:bCs/>
        </w:rPr>
        <w:t xml:space="preserve"> previos</w:t>
      </w:r>
      <w:r w:rsidR="00BE0638" w:rsidRPr="00690776">
        <w:rPr>
          <w:bCs/>
        </w:rPr>
        <w:t xml:space="preserve"> </w:t>
      </w:r>
      <w:r w:rsidR="002738B7" w:rsidRPr="00690776">
        <w:rPr>
          <w:bCs/>
        </w:rPr>
        <w:t>y con ellos los valores sociales, los supuestos, las jerarquías, todo lo que les permite darse sentido e integrarse o marcar su posición respecto a los entornos</w:t>
      </w:r>
      <w:r w:rsidR="00BE0638" w:rsidRPr="00690776">
        <w:rPr>
          <w:bCs/>
        </w:rPr>
        <w:t>, a los otros y a</w:t>
      </w:r>
      <w:r w:rsidR="002738B7" w:rsidRPr="00690776">
        <w:rPr>
          <w:bCs/>
        </w:rPr>
        <w:t xml:space="preserve"> las </w:t>
      </w:r>
      <w:r w:rsidR="00322CFB" w:rsidRPr="00690776">
        <w:rPr>
          <w:bCs/>
        </w:rPr>
        <w:t>colectividades</w:t>
      </w:r>
      <w:r w:rsidR="002738B7" w:rsidRPr="00690776">
        <w:rPr>
          <w:bCs/>
        </w:rPr>
        <w:t xml:space="preserve"> de sentido compartido.</w:t>
      </w:r>
    </w:p>
    <w:p w14:paraId="0DA9F563" w14:textId="77777777" w:rsidR="00F91A24" w:rsidRPr="00690776" w:rsidRDefault="00F91A24" w:rsidP="00F16E0D">
      <w:r w:rsidRPr="00690776">
        <w:rPr>
          <w:bCs/>
        </w:rPr>
        <w:t xml:space="preserve">Encontramos cierta afinidad con las ideas de Greimas cuando </w:t>
      </w:r>
      <w:r w:rsidRPr="00690776">
        <w:t>proponía para la semiótica el objetivo de captar e interpretar “la dimensión significativa, gracias a la cual una sociedad existe, como sentido, para los individuos y los grupos que la componen” (1976 : 49). Con una visión que parece hoy muy ambiciosa afirma que se trata de encontrar una aproximación que permita comprender y describir cómo el individuo logra trascenderse a sí mismo y encontrar al otro, cómo se integra y vive su integración en los grupos sociales, cuáles son las “representaciones colectivas” que hacen de él un ser social (</w:t>
      </w:r>
      <w:r w:rsidR="00F16E0D" w:rsidRPr="00690776">
        <w:t>1976:</w:t>
      </w:r>
      <w:r w:rsidRPr="00690776">
        <w:t xml:space="preserve"> 50). Esta reflexión conduce a Greimas a proponer un mapa general y una categorización del campo, que se centra en la unidad y la diversidad social y semiótica: la aculturación de cada individuo, además de una “lengua común”</w:t>
      </w:r>
      <w:r w:rsidR="00A0210C" w:rsidRPr="00690776">
        <w:t>,</w:t>
      </w:r>
      <w:r w:rsidRPr="00690776">
        <w:t xml:space="preserve"> supone el aprendizaje de un cierto número de “lenguajes especializados” que le hacen participar, no de grupos sociales propiamente tales, sino de “comunidades de lenguaje” restringidas, de  “grupos semióticos caracterizados por la competencia que poseen en común los individuos que forman parte de ellos” (</w:t>
      </w:r>
      <w:r w:rsidR="00F16E0D" w:rsidRPr="00690776">
        <w:t xml:space="preserve">1976: </w:t>
      </w:r>
      <w:r w:rsidRPr="00690776">
        <w:t>53). También Eco señala el interés, desde el punto de vista sociosemiótico, “de reconocer diversos niveles de dominio de la enciclopedia así como las enciclopedias parciales (de grupo, de secta, de clase, étnicas y demás)” (Eco 1984: 110).</w:t>
      </w:r>
    </w:p>
    <w:p w14:paraId="4C378C2A" w14:textId="77777777" w:rsidR="00F91A24" w:rsidRPr="00690776" w:rsidRDefault="00F91A24" w:rsidP="00F16E0D">
      <w:r w:rsidRPr="00690776">
        <w:t xml:space="preserve">Desde el punto de vista semiótico, dice Greimas, cierto tipo de diferenciación social se define no considerando los grupos a partir de sus prácticas socio-económicas comunes, sino “teniendo en cuenta una tipología de los universos semánticos y de los discursos socializados” </w:t>
      </w:r>
      <w:r w:rsidR="00F16E0D" w:rsidRPr="00690776">
        <w:t xml:space="preserve">(1976: </w:t>
      </w:r>
      <w:r w:rsidRPr="00690776">
        <w:t xml:space="preserve">54). Esta hipótesis de la diversidad social de “universos semánticos y discursivos” resulta semióticamente relevante en cualesquiera ámbitos de relación (interpersonal, social, pública, mediática y no sólo en la comunicación intra e intergrupal, como sugiere Greimas) y abre la posibilidad de indagar cómo interviene esa diversidad en todas las formas de comunicación. Se revela como un factor clave en cada encuentro y en cada texto, como se desprende de la definición de texto de Eco, a la que he recurrido a menudo en trabajos que tenían por objeto indagar cómo ciertos textos procuran transformar los lugares comunes y los valores y afectos dominantes en un cierto ámbito cultural (ver Peñamarin </w:t>
      </w:r>
      <w:r w:rsidR="004D0980" w:rsidRPr="00690776">
        <w:t>2011</w:t>
      </w:r>
      <w:r w:rsidRPr="00690776">
        <w:t>).</w:t>
      </w:r>
    </w:p>
    <w:p w14:paraId="0A08FFC0" w14:textId="77777777" w:rsidR="000C22D8" w:rsidRPr="00690776" w:rsidRDefault="00F91A24" w:rsidP="00F91A24">
      <w:pPr>
        <w:autoSpaceDE w:val="0"/>
        <w:autoSpaceDN w:val="0"/>
        <w:adjustRightInd w:val="0"/>
        <w:spacing w:after="0" w:line="240" w:lineRule="auto"/>
        <w:ind w:left="708"/>
      </w:pPr>
      <w:r w:rsidRPr="00690776">
        <w:t xml:space="preserve"> </w:t>
      </w:r>
      <w:r w:rsidR="000C22D8" w:rsidRPr="00690776">
        <w:t>“</w:t>
      </w:r>
      <w:r w:rsidR="00284A92" w:rsidRPr="00690776">
        <w:t>Un texto no es sólo un aparato de comunicación. Es un aparato que pone en cuestión los sistemas de significación que le preceden, a menudo los renueva, a veces los destruye”</w:t>
      </w:r>
      <w:r w:rsidR="000C22D8" w:rsidRPr="00690776">
        <w:t xml:space="preserve"> (</w:t>
      </w:r>
      <w:r w:rsidR="00FC14F8" w:rsidRPr="00690776">
        <w:t>Eco</w:t>
      </w:r>
      <w:r w:rsidR="000C22D8" w:rsidRPr="00690776">
        <w:t xml:space="preserve"> 1984, p. 20)</w:t>
      </w:r>
    </w:p>
    <w:p w14:paraId="16483016" w14:textId="77777777" w:rsidR="000C22D8" w:rsidRPr="00690776" w:rsidRDefault="000C22D8" w:rsidP="000C22D8">
      <w:pPr>
        <w:autoSpaceDE w:val="0"/>
        <w:autoSpaceDN w:val="0"/>
        <w:adjustRightInd w:val="0"/>
        <w:spacing w:after="0" w:line="240" w:lineRule="auto"/>
      </w:pPr>
    </w:p>
    <w:p w14:paraId="6A696C78" w14:textId="77777777" w:rsidR="000C22D8" w:rsidRPr="00690776" w:rsidRDefault="000C22D8" w:rsidP="00F16E0D">
      <w:r w:rsidRPr="00690776">
        <w:t>En su concisión, esta concepción nos invita a observar el dinamismo del sentido, a mirar en cada texto los índices de los plurales sistemas de significación (</w:t>
      </w:r>
      <w:r w:rsidR="00FC14F8" w:rsidRPr="00690776">
        <w:t xml:space="preserve">las enciclopedias </w:t>
      </w:r>
      <w:r w:rsidRPr="00690776">
        <w:t>que incluye</w:t>
      </w:r>
      <w:r w:rsidR="00FC14F8" w:rsidRPr="00690776">
        <w:t>n</w:t>
      </w:r>
      <w:r w:rsidRPr="00690776">
        <w:t xml:space="preserve"> los “universos semánticos</w:t>
      </w:r>
      <w:r w:rsidR="00FC14F8" w:rsidRPr="00690776">
        <w:t xml:space="preserve"> y discursivos</w:t>
      </w:r>
      <w:r w:rsidRPr="00690776">
        <w:t xml:space="preserve">”) que el enunciador prevé en el destinatario y del modo como su enunciación pretende renovarlos, cuestionarlos o destruirlos, con lo que resultan incorporados de nuevo al acervo social, a la enciclopedia intertextual de donde los interlocutores los toman. Esta aportación del libro de Eco de 1984 se basa en su trabajo previo sobre los sistemas de significación y los códigos que se recoge en el Tratado de 1975, donde </w:t>
      </w:r>
      <w:r w:rsidR="00284A92" w:rsidRPr="00690776">
        <w:t xml:space="preserve">se </w:t>
      </w:r>
      <w:r w:rsidR="00284A92" w:rsidRPr="00690776">
        <w:lastRenderedPageBreak/>
        <w:t>refiere a “l</w:t>
      </w:r>
      <w:r w:rsidRPr="00690776">
        <w:t>a dialéctica entre códigos y mensajes, en la que los códigos controlan la emisión de los mensajes, pero nuevos mensajes pueden reestructurar los códigos</w:t>
      </w:r>
      <w:r w:rsidR="00284A92" w:rsidRPr="00690776">
        <w:t>”</w:t>
      </w:r>
      <w:r w:rsidRPr="00690776">
        <w:t xml:space="preserve"> (Eco</w:t>
      </w:r>
      <w:r w:rsidR="00F16E0D" w:rsidRPr="00690776">
        <w:t xml:space="preserve"> 1975/2000: </w:t>
      </w:r>
      <w:r w:rsidRPr="00690776">
        <w:t>242)</w:t>
      </w:r>
      <w:r w:rsidRPr="00690776">
        <w:rPr>
          <w:rFonts w:ascii="Verdana" w:eastAsia="Calibri" w:hAnsi="Verdana" w:cs="Verdana"/>
          <w:color w:val="000000"/>
          <w:sz w:val="18"/>
          <w:szCs w:val="18"/>
        </w:rPr>
        <w:t xml:space="preserve">. Y más adelante en la misma obra escribe: </w:t>
      </w:r>
      <w:r w:rsidRPr="00690776">
        <w:t>los sujetos “cuando comunican obedecen a sistemas de significación y, al mismo tiempo, los arriesgan, los critica</w:t>
      </w:r>
      <w:r w:rsidR="000129E0" w:rsidRPr="00690776">
        <w:t>n</w:t>
      </w:r>
      <w:r w:rsidRPr="00690776">
        <w:t xml:space="preserve"> y los cambian.” (</w:t>
      </w:r>
      <w:r w:rsidR="00F16E0D" w:rsidRPr="00690776">
        <w:t xml:space="preserve">1975/2000: </w:t>
      </w:r>
      <w:r w:rsidRPr="00690776">
        <w:t xml:space="preserve">424). Una perspectiva que abre una interesante vía de salida al tema foucaultiano </w:t>
      </w:r>
      <w:r w:rsidR="00284A92" w:rsidRPr="00690776">
        <w:t>de la sujeción o sometimiento</w:t>
      </w:r>
      <w:r w:rsidRPr="00690776">
        <w:t xml:space="preserve"> del sujeto a las formaciones discursivas, ya que tiene en cuenta cómo los sujetos “obedecen” a los sistemas semióticos pero al tiempo sus prácticas significativas los ponen en crisis y los transforman (sobre el concepto de sujeto</w:t>
      </w:r>
      <w:r w:rsidR="000129E0" w:rsidRPr="00690776">
        <w:t xml:space="preserve"> de Eco</w:t>
      </w:r>
      <w:r w:rsidRPr="00690776">
        <w:t>, ver Violi 2007).</w:t>
      </w:r>
    </w:p>
    <w:p w14:paraId="69732570" w14:textId="77777777" w:rsidR="000C22D8" w:rsidRPr="00690776" w:rsidRDefault="000C22D8" w:rsidP="00A0210C">
      <w:r w:rsidRPr="00690776">
        <w:t xml:space="preserve">Lo que resulta estimulante en esta perspectiva es la visión de la actividad comunicativa como dependiente de reglas y de sistemas de significación dotados de cierta estabilidad y al tiempo de cierta capacidad de transformación por obra de las propias acciones comunicativas, si bien la relación entre los sistemas semióticos y las comunidades lingüísticas o semióticas queda por desarrollar tras este planteamiento. Sbisà y Fabbri en un </w:t>
      </w:r>
      <w:r w:rsidR="00F17652" w:rsidRPr="00690776">
        <w:t>notable</w:t>
      </w:r>
      <w:r w:rsidRPr="00690776">
        <w:t xml:space="preserve"> artículo </w:t>
      </w:r>
      <w:r w:rsidR="00A0210C" w:rsidRPr="00690776">
        <w:t>(</w:t>
      </w:r>
      <w:r w:rsidRPr="00690776">
        <w:t>1980</w:t>
      </w:r>
      <w:r w:rsidR="00A0210C" w:rsidRPr="00690776">
        <w:t>)</w:t>
      </w:r>
      <w:r w:rsidRPr="00690776">
        <w:t xml:space="preserve"> donde discuten las posibilidades de una pragmática lingüística extendieron esta problemática a la transformación de los sujetos y las reglas en la interacción, presentando sus implicaciones en la concepción del poder. Criticaban un modelo de pragmática semiótica que entendía la relación entre lenguaje y sociedad en una sola dirección: el lenguaje reflejaría la estratificación social de un modo estático, neutro y ajeno a las cuestiones de poder.  La interacción lingüística, señalan, nunca reproduce pasivamente las reglas, sino que puede distanciarse de ellas ganando con ello un sentido más rico. Y defendían un segundo modelo de pragmática en que las acciones comunicativas se entienden como capaces de cambiar las reglas, los roles, el contexto de la interacción y a los propios sujetos participantes en ella. Las cuestiones que se plan</w:t>
      </w:r>
      <w:r w:rsidR="002552AB" w:rsidRPr="00690776">
        <w:t>t</w:t>
      </w:r>
      <w:r w:rsidRPr="00690776">
        <w:t xml:space="preserve">eaban  Sbisà y Fabbri coincidían con las de otros estudiosos de lo social: cómo se establecen, se siguen, se cambian las reglas, los roles, las relaciones, las enciclopedias en los intercambios significativos. Proponen un objeto de indagación, el cambio significativo a nivel micro, y un modo de observarlo y hacerlo emerger: a partir precisamente de </w:t>
      </w:r>
      <w:r w:rsidR="00F17652" w:rsidRPr="00690776">
        <w:t>los procesos de</w:t>
      </w:r>
      <w:r w:rsidRPr="00690776">
        <w:t xml:space="preserve"> interpretación-negociación de reglas, roles, valores, etc. (sugiriendo una visión </w:t>
      </w:r>
      <w:r w:rsidR="00B20663" w:rsidRPr="00690776">
        <w:t>doble</w:t>
      </w:r>
      <w:r w:rsidRPr="00690776">
        <w:t xml:space="preserve"> del poder, de una parte como imposición, la de las reglas, de otra como poder-hacer del sujeto y como posibilidad de cambio de las reglas).</w:t>
      </w:r>
    </w:p>
    <w:p w14:paraId="01701E78" w14:textId="77777777" w:rsidR="002552AB" w:rsidRPr="00690776" w:rsidRDefault="002552AB" w:rsidP="00576138">
      <w:pPr>
        <w:pStyle w:val="Sangradetextonormal"/>
        <w:ind w:firstLine="0"/>
        <w:rPr>
          <w:rFonts w:asciiTheme="minorHAnsi" w:eastAsiaTheme="minorHAnsi" w:hAnsiTheme="minorHAnsi" w:cstheme="minorBidi"/>
          <w:sz w:val="22"/>
          <w:szCs w:val="22"/>
          <w:lang w:eastAsia="en-US" w:bidi="he-IL"/>
        </w:rPr>
      </w:pPr>
      <w:r w:rsidRPr="00690776">
        <w:rPr>
          <w:rFonts w:asciiTheme="minorHAnsi" w:eastAsiaTheme="minorHAnsi" w:hAnsiTheme="minorHAnsi" w:cstheme="minorBidi"/>
          <w:sz w:val="22"/>
          <w:szCs w:val="22"/>
          <w:lang w:eastAsia="en-US" w:bidi="he-IL"/>
        </w:rPr>
        <w:t xml:space="preserve">De nuevo, de estas aportaciones apenas se derivan consecuencias en Europa en el trabajo semiótico posterior. </w:t>
      </w:r>
      <w:r w:rsidR="00576138" w:rsidRPr="00690776">
        <w:rPr>
          <w:rFonts w:asciiTheme="minorHAnsi" w:eastAsiaTheme="minorHAnsi" w:hAnsiTheme="minorHAnsi" w:cstheme="minorBidi"/>
          <w:sz w:val="22"/>
          <w:szCs w:val="22"/>
          <w:lang w:eastAsia="en-US" w:bidi="he-IL"/>
        </w:rPr>
        <w:t>Podemos recuperar</w:t>
      </w:r>
      <w:r w:rsidRPr="00690776">
        <w:rPr>
          <w:rFonts w:asciiTheme="minorHAnsi" w:eastAsiaTheme="minorHAnsi" w:hAnsiTheme="minorHAnsi" w:cstheme="minorBidi"/>
          <w:sz w:val="22"/>
          <w:szCs w:val="22"/>
          <w:lang w:eastAsia="en-US" w:bidi="he-IL"/>
        </w:rPr>
        <w:t xml:space="preserve"> la mirada micro de Sbisà y Fabbri junto con la posibilidad de conectarla con la visión macro a través de la observación de cómo en los encuentros comunicativos </w:t>
      </w:r>
      <w:r w:rsidR="00322CFB" w:rsidRPr="00690776">
        <w:rPr>
          <w:rFonts w:asciiTheme="minorHAnsi" w:eastAsiaTheme="minorHAnsi" w:hAnsiTheme="minorHAnsi" w:cstheme="minorBidi"/>
          <w:sz w:val="22"/>
          <w:szCs w:val="22"/>
          <w:lang w:eastAsia="en-US" w:bidi="he-IL"/>
        </w:rPr>
        <w:t>y</w:t>
      </w:r>
      <w:r w:rsidRPr="00690776">
        <w:rPr>
          <w:rFonts w:asciiTheme="minorHAnsi" w:eastAsiaTheme="minorHAnsi" w:hAnsiTheme="minorHAnsi" w:cstheme="minorBidi"/>
          <w:sz w:val="22"/>
          <w:szCs w:val="22"/>
          <w:lang w:eastAsia="en-US" w:bidi="he-IL"/>
        </w:rPr>
        <w:t xml:space="preserve"> en los textos que los realizan</w:t>
      </w:r>
      <w:r w:rsidR="00B20663" w:rsidRPr="00690776">
        <w:rPr>
          <w:rFonts w:asciiTheme="minorHAnsi" w:eastAsiaTheme="minorHAnsi" w:hAnsiTheme="minorHAnsi" w:cstheme="minorBidi"/>
          <w:sz w:val="22"/>
          <w:szCs w:val="22"/>
          <w:lang w:eastAsia="en-US" w:bidi="he-IL"/>
        </w:rPr>
        <w:t>, se activan y transforman los grandes sistemas de sentido básicos para una colectividad mayor o menor.</w:t>
      </w:r>
      <w:r w:rsidR="00576138" w:rsidRPr="00690776">
        <w:rPr>
          <w:rFonts w:asciiTheme="minorHAnsi" w:eastAsiaTheme="minorHAnsi" w:hAnsiTheme="minorHAnsi" w:cstheme="minorBidi"/>
          <w:sz w:val="22"/>
          <w:szCs w:val="22"/>
          <w:lang w:eastAsia="en-US" w:bidi="he-IL"/>
        </w:rPr>
        <w:t xml:space="preserve"> </w:t>
      </w:r>
      <w:r w:rsidR="00BB6CFE">
        <w:rPr>
          <w:rFonts w:asciiTheme="minorHAnsi" w:eastAsiaTheme="minorHAnsi" w:hAnsiTheme="minorHAnsi" w:cstheme="minorBidi"/>
          <w:sz w:val="22"/>
          <w:szCs w:val="22"/>
          <w:lang w:eastAsia="en-US" w:bidi="he-IL"/>
        </w:rPr>
        <w:t xml:space="preserve">Estos procesos se encuentran tanto en las interacciones abiertas como en los textos propiamente dichos, por lo que me permitiré eludir la discusión sobre estos conceptos. Los textos se entienden aquí como formas de encuentro comunicativo entre dos polos interlocutores. </w:t>
      </w:r>
      <w:r w:rsidRPr="00690776">
        <w:rPr>
          <w:rFonts w:asciiTheme="minorHAnsi" w:eastAsiaTheme="minorHAnsi" w:hAnsiTheme="minorHAnsi" w:cstheme="minorBidi"/>
          <w:sz w:val="22"/>
          <w:szCs w:val="22"/>
          <w:lang w:eastAsia="en-US" w:bidi="he-IL"/>
        </w:rPr>
        <w:t xml:space="preserve">Siguiendo el saludable hábito semiótico de </w:t>
      </w:r>
      <w:r w:rsidR="00B20663" w:rsidRPr="00690776">
        <w:rPr>
          <w:rFonts w:asciiTheme="minorHAnsi" w:eastAsiaTheme="minorHAnsi" w:hAnsiTheme="minorHAnsi" w:cstheme="minorBidi"/>
          <w:sz w:val="22"/>
          <w:szCs w:val="22"/>
          <w:lang w:eastAsia="en-US" w:bidi="he-IL"/>
        </w:rPr>
        <w:t>contrastar los supuestos teóricos con</w:t>
      </w:r>
      <w:r w:rsidRPr="00690776">
        <w:rPr>
          <w:rFonts w:asciiTheme="minorHAnsi" w:eastAsiaTheme="minorHAnsi" w:hAnsiTheme="minorHAnsi" w:cstheme="minorBidi"/>
          <w:sz w:val="22"/>
          <w:szCs w:val="22"/>
          <w:lang w:eastAsia="en-US" w:bidi="he-IL"/>
        </w:rPr>
        <w:t xml:space="preserve"> el análisis de los textos, para estudiar este campo de problemas propongo reflexionar sobre ciertos encue</w:t>
      </w:r>
      <w:r w:rsidR="00B20663" w:rsidRPr="00690776">
        <w:rPr>
          <w:rFonts w:asciiTheme="minorHAnsi" w:eastAsiaTheme="minorHAnsi" w:hAnsiTheme="minorHAnsi" w:cstheme="minorBidi"/>
          <w:sz w:val="22"/>
          <w:szCs w:val="22"/>
          <w:lang w:eastAsia="en-US" w:bidi="he-IL"/>
        </w:rPr>
        <w:t>ntros comunicativos. E</w:t>
      </w:r>
      <w:r w:rsidRPr="00690776">
        <w:rPr>
          <w:rFonts w:asciiTheme="minorHAnsi" w:eastAsiaTheme="minorHAnsi" w:hAnsiTheme="minorHAnsi" w:cstheme="minorBidi"/>
          <w:sz w:val="22"/>
          <w:szCs w:val="22"/>
          <w:lang w:eastAsia="en-US" w:bidi="he-IL"/>
        </w:rPr>
        <w:t>l primero atañe a una mentira</w:t>
      </w:r>
      <w:r w:rsidR="00576138" w:rsidRPr="00690776">
        <w:rPr>
          <w:rFonts w:asciiTheme="minorHAnsi" w:eastAsiaTheme="minorHAnsi" w:hAnsiTheme="minorHAnsi" w:cstheme="minorBidi"/>
          <w:sz w:val="22"/>
          <w:szCs w:val="22"/>
          <w:lang w:eastAsia="en-US" w:bidi="he-IL"/>
        </w:rPr>
        <w:t>,</w:t>
      </w:r>
      <w:r w:rsidRPr="00690776">
        <w:rPr>
          <w:rFonts w:asciiTheme="minorHAnsi" w:eastAsiaTheme="minorHAnsi" w:hAnsiTheme="minorHAnsi" w:cstheme="minorBidi"/>
          <w:sz w:val="22"/>
          <w:szCs w:val="22"/>
          <w:lang w:eastAsia="en-US" w:bidi="he-IL"/>
        </w:rPr>
        <w:t xml:space="preserve"> que como </w:t>
      </w:r>
      <w:r w:rsidR="00322CFB" w:rsidRPr="00690776">
        <w:rPr>
          <w:rFonts w:asciiTheme="minorHAnsi" w:eastAsiaTheme="minorHAnsi" w:hAnsiTheme="minorHAnsi" w:cstheme="minorBidi"/>
          <w:sz w:val="22"/>
          <w:szCs w:val="22"/>
          <w:lang w:eastAsia="en-US" w:bidi="he-IL"/>
        </w:rPr>
        <w:t>dice</w:t>
      </w:r>
      <w:r w:rsidRPr="00690776">
        <w:rPr>
          <w:rFonts w:asciiTheme="minorHAnsi" w:eastAsiaTheme="minorHAnsi" w:hAnsiTheme="minorHAnsi" w:cstheme="minorBidi"/>
          <w:sz w:val="22"/>
          <w:szCs w:val="22"/>
          <w:lang w:eastAsia="en-US" w:bidi="he-IL"/>
        </w:rPr>
        <w:t xml:space="preserve"> Eco es la piedra de prueba de la semiótica.</w:t>
      </w:r>
    </w:p>
    <w:p w14:paraId="454DA0D5" w14:textId="77777777" w:rsidR="000C22D8" w:rsidRPr="00690776" w:rsidRDefault="000C22D8" w:rsidP="00CA309D"/>
    <w:p w14:paraId="4390FFD4" w14:textId="77777777" w:rsidR="00DC6735" w:rsidRDefault="00DC6735" w:rsidP="00CA309D">
      <w:pPr>
        <w:rPr>
          <w:i/>
          <w:iCs/>
        </w:rPr>
      </w:pPr>
    </w:p>
    <w:p w14:paraId="4E1FF0E8" w14:textId="18565895" w:rsidR="00961FDA" w:rsidRPr="00690776" w:rsidRDefault="00961FDA" w:rsidP="00CA309D">
      <w:pPr>
        <w:rPr>
          <w:i/>
          <w:iCs/>
        </w:rPr>
      </w:pPr>
      <w:r w:rsidRPr="00690776">
        <w:rPr>
          <w:i/>
          <w:iCs/>
        </w:rPr>
        <w:lastRenderedPageBreak/>
        <w:t>1. La mentira, el soldado y el banquero.</w:t>
      </w:r>
    </w:p>
    <w:p w14:paraId="3A69DE4E" w14:textId="77777777" w:rsidR="00961FDA" w:rsidRPr="00690776" w:rsidRDefault="00961FDA" w:rsidP="00167616">
      <w:r w:rsidRPr="00690776">
        <w:t xml:space="preserve">En Francia en 1920 el joven Brice Parain se presenta a un banquero para optar al puesto de profesor de sus hijos. El banquero le pregunta por su situación durante la última guerra y Parain miente en su respuesta, ya que aunque por su educación habría podido ser oficial, en realidad </w:t>
      </w:r>
      <w:r w:rsidR="00B90A1D">
        <w:t>h</w:t>
      </w:r>
      <w:r w:rsidRPr="00690776">
        <w:t xml:space="preserve">a sido soldado de segunda clase. Esto se explica, en la versión que Parain da de sí mismo, “por honestidad, porque no he querido mandar, a pesar de las ventajas, porque no me sentía capaz”. Pero supone que para el banquero tal renuncia significa “falta de dignidad, amor al vulgo, falta de patriotismo”. Por eso dice que ha sido teniente, no para engañar a su interlocutor, sino para evitar que este </w:t>
      </w:r>
      <w:r w:rsidR="00413CDC" w:rsidRPr="00690776">
        <w:t>se engañe</w:t>
      </w:r>
      <w:r w:rsidRPr="00690776">
        <w:t xml:space="preserve"> sobre su fiabilidad (J.P. Sartre, </w:t>
      </w:r>
      <w:r w:rsidRPr="00690776">
        <w:rPr>
          <w:i/>
        </w:rPr>
        <w:t>Situations</w:t>
      </w:r>
      <w:r w:rsidRPr="00690776">
        <w:t>, 1947, en Descombes, 1996: 268).</w:t>
      </w:r>
    </w:p>
    <w:p w14:paraId="0A823101" w14:textId="77777777" w:rsidR="00413CDC" w:rsidRPr="00690776" w:rsidRDefault="00413CDC" w:rsidP="004002A2">
      <w:r w:rsidRPr="00690776">
        <w:t xml:space="preserve">Entre las cuestiones que plantea Descombes hay una poder. Sartre afirma a propósito de este encuentro que no hay más que un sistema, una lengua, la de la clase dirigente; “Tienes que elegir entre acomodarte al sistema ya hecho o callar” </w:t>
      </w:r>
      <w:r w:rsidR="00961FDA" w:rsidRPr="00690776">
        <w:t xml:space="preserve"> (</w:t>
      </w:r>
      <w:r w:rsidR="00961FDA" w:rsidRPr="00690776">
        <w:rPr>
          <w:i/>
        </w:rPr>
        <w:t>Situations</w:t>
      </w:r>
      <w:r w:rsidR="00961FDA" w:rsidRPr="00690776">
        <w:t xml:space="preserve"> I, p. 200). Supone Sartre que además de las diferentes enciclopedias es la desigual relación de poder entre los interlocutores lo que lleva en este caso a uno de ellos a mentir. </w:t>
      </w:r>
      <w:r w:rsidRPr="00690776">
        <w:t>La desc</w:t>
      </w:r>
      <w:r w:rsidR="00167616" w:rsidRPr="00690776">
        <w:t>r</w:t>
      </w:r>
      <w:r w:rsidRPr="00690776">
        <w:t>ipción de la situación</w:t>
      </w:r>
      <w:r w:rsidR="003F7EBE">
        <w:t>, que incluye el punto de vista de Parain,</w:t>
      </w:r>
      <w:r w:rsidRPr="00690776">
        <w:t xml:space="preserve"> hace ver que debido a esa desigualdad, ambos sistemas no son igualmente públicos. El del joven Parain permanece oculto para el banquero y esta reserva es, como todos los secretos, una opción que le da algo de poder que oponer a la posición dominante del otro.</w:t>
      </w:r>
      <w:r w:rsidR="00167616" w:rsidRPr="00690776">
        <w:t xml:space="preserve"> </w:t>
      </w:r>
      <w:r w:rsidR="00056517" w:rsidRPr="00690776">
        <w:t xml:space="preserve">Parain será por el momento opaco para su interlocutor y no podrá hacerle comprender su sentido de la honestidad o su resistencia a imponerse a otros. </w:t>
      </w:r>
      <w:r w:rsidR="00167616" w:rsidRPr="00690776">
        <w:t xml:space="preserve">Es también un ejemplo de cómo en una interacción desigual el subalterno está más interesado en conocer las reglas del dominante que a la inversa y </w:t>
      </w:r>
      <w:r w:rsidR="006B04A0" w:rsidRPr="00690776">
        <w:t>de cómo</w:t>
      </w:r>
      <w:r w:rsidR="00167616" w:rsidRPr="00690776">
        <w:t xml:space="preserve"> el segundo se puede hacer la ilusión de que su sistema sea el único o el que merece ser el sistema de sentido común. Podemos preguntarnos si las desigualdades de poder </w:t>
      </w:r>
      <w:r w:rsidR="004002A2" w:rsidRPr="00690776">
        <w:t>conducen</w:t>
      </w:r>
      <w:r w:rsidR="00167616" w:rsidRPr="00690776">
        <w:t xml:space="preserve"> necesariamente </w:t>
      </w:r>
      <w:r w:rsidR="004002A2" w:rsidRPr="00690776">
        <w:t xml:space="preserve">a </w:t>
      </w:r>
      <w:r w:rsidR="00167616" w:rsidRPr="00690776">
        <w:t xml:space="preserve">que el sistema de </w:t>
      </w:r>
      <w:r w:rsidR="004002A2" w:rsidRPr="00690776">
        <w:t>sentido de quien domina se imponga</w:t>
      </w:r>
      <w:r w:rsidR="00167616" w:rsidRPr="00690776">
        <w:t xml:space="preserve"> y </w:t>
      </w:r>
      <w:r w:rsidR="004002A2" w:rsidRPr="00690776">
        <w:t>obligue</w:t>
      </w:r>
      <w:r w:rsidR="00167616" w:rsidRPr="00690776">
        <w:t xml:space="preserve"> al otro a callar, </w:t>
      </w:r>
      <w:r w:rsidR="004002A2" w:rsidRPr="00690776">
        <w:t xml:space="preserve">o </w:t>
      </w:r>
      <w:r w:rsidR="00167616" w:rsidRPr="00690776">
        <w:t xml:space="preserve">si </w:t>
      </w:r>
      <w:r w:rsidR="004002A2" w:rsidRPr="00690776">
        <w:t>son posibles</w:t>
      </w:r>
      <w:r w:rsidR="00167616" w:rsidRPr="00690776">
        <w:t xml:space="preserve"> otras formas</w:t>
      </w:r>
      <w:r w:rsidR="004002A2" w:rsidRPr="00690776">
        <w:t xml:space="preserve"> de relación</w:t>
      </w:r>
      <w:r w:rsidR="00167616" w:rsidRPr="00690776">
        <w:t xml:space="preserve"> y </w:t>
      </w:r>
      <w:r w:rsidR="00B04452" w:rsidRPr="00690776">
        <w:t xml:space="preserve">también </w:t>
      </w:r>
      <w:r w:rsidR="00167616" w:rsidRPr="00690776">
        <w:t>cómo incorporar al análisis semiótico estas cuestiones de poder.</w:t>
      </w:r>
    </w:p>
    <w:p w14:paraId="3F9E9E99" w14:textId="77777777" w:rsidR="00FC14F8" w:rsidRPr="00690776" w:rsidRDefault="00FC14F8" w:rsidP="004002A2">
      <w:r w:rsidRPr="00690776">
        <w:t xml:space="preserve">Otros dos aspectos me interesan en este caso. Uno es el </w:t>
      </w:r>
      <w:r w:rsidR="004002A2" w:rsidRPr="00690776">
        <w:t>factor</w:t>
      </w:r>
      <w:r w:rsidRPr="00690776">
        <w:t xml:space="preserve"> de la comprensión por parte de los actores de los sistemas sociales de significación. El joven Parain ve al banquero por primera vez en su vida, pero sabe muy bien</w:t>
      </w:r>
      <w:r w:rsidR="004002A2" w:rsidRPr="00690776">
        <w:t>, con sólo</w:t>
      </w:r>
      <w:r w:rsidRPr="00690776">
        <w:t xml:space="preserve"> </w:t>
      </w:r>
      <w:r w:rsidR="004002A2" w:rsidRPr="00690776">
        <w:t xml:space="preserve">identificar su estatus social, </w:t>
      </w:r>
      <w:r w:rsidRPr="00690776">
        <w:t>qué sentido dará este hombre al hecho de que él haya sido soldado</w:t>
      </w:r>
      <w:r w:rsidR="008A5F35" w:rsidRPr="00690776">
        <w:t xml:space="preserve"> siendo un hombre culto, </w:t>
      </w:r>
      <w:r w:rsidR="008A5F35" w:rsidRPr="00690776">
        <w:rPr>
          <w:i/>
          <w:iCs/>
        </w:rPr>
        <w:t>normalien</w:t>
      </w:r>
      <w:r w:rsidR="008A5F35" w:rsidRPr="00690776">
        <w:t xml:space="preserve">, como dicen los franceses. </w:t>
      </w:r>
      <w:r w:rsidR="006B04A0" w:rsidRPr="00690776">
        <w:t xml:space="preserve">Este aspecto se vincula con otro crucial: </w:t>
      </w:r>
      <w:r w:rsidR="008A5F35" w:rsidRPr="00690776">
        <w:t>en esta comunicación, considerada como un intercambio de significaciones, lo que cuenta es el sentido que dará el otro, como diría Peirce, sobre la base de sus intereses y propósitos en la situación, donde el banquero</w:t>
      </w:r>
      <w:r w:rsidR="00D16143" w:rsidRPr="00690776">
        <w:t xml:space="preserve"> está valorando al candidato a profesor de sus hijos. A este respecto, Parain, que en este encuentro es bilingüe, sabe que el banquero tiene ciertas ideas comunes con su grupo socio-semiótico y ciertas formas de valorar a los candidatos a ese rol. Cambia la palabra soldado por teniente porque es la que mejor traduce el sentido que quiere transmitir al banquero sobre su valor en la situación, la confianza que considera que merece para el puesto. Con este fin renuncia a discutir o a cambiar el sistema de sentido del otro, pero no renuncia a </w:t>
      </w:r>
      <w:r w:rsidR="004002A2" w:rsidRPr="00690776">
        <w:t>trastocar</w:t>
      </w:r>
      <w:r w:rsidR="001808D1" w:rsidRPr="00690776">
        <w:t xml:space="preserve"> ciertos términos, a la astucia que le permite negociar su estatus.</w:t>
      </w:r>
    </w:p>
    <w:p w14:paraId="43372601" w14:textId="77777777" w:rsidR="001808D1" w:rsidRPr="00B90A1D" w:rsidRDefault="001808D1" w:rsidP="00265653">
      <w:pPr>
        <w:autoSpaceDE w:val="0"/>
        <w:autoSpaceDN w:val="0"/>
        <w:adjustRightInd w:val="0"/>
        <w:spacing w:after="0" w:line="240" w:lineRule="auto"/>
        <w:rPr>
          <w:rFonts w:ascii="SimonciniGaramondStd" w:hAnsi="SimonciniGaramondStd" w:cs="SimonciniGaramondStd"/>
          <w:sz w:val="20"/>
          <w:szCs w:val="20"/>
          <w:lang w:bidi="ar-SA"/>
        </w:rPr>
      </w:pPr>
      <w:r w:rsidRPr="00690776">
        <w:t xml:space="preserve">Grupos sociales y sistemas de ideas no se corresponden exactamente. </w:t>
      </w:r>
      <w:r w:rsidR="00265653">
        <w:t>Casi un siglo después de este encuentro</w:t>
      </w:r>
      <w:r w:rsidRPr="00690776">
        <w:t>,</w:t>
      </w:r>
      <w:r w:rsidR="00265653">
        <w:t xml:space="preserve"> y</w:t>
      </w:r>
      <w:r w:rsidRPr="00690776">
        <w:t xml:space="preserve"> cada vez más, en una misma clase o estrato social se dan diferencias de estilos de vida, pensamiento, valores, gustos, etc. </w:t>
      </w:r>
      <w:r w:rsidR="004002A2" w:rsidRPr="00690776">
        <w:t>Esto ciertamente hace</w:t>
      </w:r>
      <w:r w:rsidR="00AC0DC6" w:rsidRPr="00690776">
        <w:t xml:space="preserve"> la interpretación más </w:t>
      </w:r>
      <w:r w:rsidR="00AC0DC6" w:rsidRPr="00690776">
        <w:lastRenderedPageBreak/>
        <w:t xml:space="preserve">articulada y compleja, </w:t>
      </w:r>
      <w:r w:rsidR="004002A2" w:rsidRPr="00690776">
        <w:t xml:space="preserve">pero </w:t>
      </w:r>
      <w:r w:rsidR="006B04A0" w:rsidRPr="00690776">
        <w:t>siempre</w:t>
      </w:r>
      <w:r w:rsidRPr="00690776">
        <w:t xml:space="preserve"> para negociar el significado de un intercambio de expresiones, los participantes necesitan cierta competencia</w:t>
      </w:r>
      <w:r w:rsidR="00AC0DC6" w:rsidRPr="00690776">
        <w:t xml:space="preserve"> sobre el sistema en el que es enmarcado por el interlocutor el asunto en cuestión (algo que no afecta sólo al lenguaje verbal, ya que, como veremos, fenómenos similares pueden verificarse en los ámbitos de los gestos, los atuendos, las imágenes, etc</w:t>
      </w:r>
      <w:r w:rsidR="006B04A0" w:rsidRPr="00690776">
        <w:t>.)</w:t>
      </w:r>
      <w:r w:rsidR="00B04452" w:rsidRPr="00690776">
        <w:t>. Como v</w:t>
      </w:r>
      <w:r w:rsidR="00AC0DC6" w:rsidRPr="00690776">
        <w:t>emos en este encuentro</w:t>
      </w:r>
      <w:r w:rsidR="00B04452" w:rsidRPr="00690776">
        <w:t>,</w:t>
      </w:r>
      <w:r w:rsidR="00AC0DC6" w:rsidRPr="00690776">
        <w:t xml:space="preserve"> la interacción social básica, la conversación –de hecho, toda comunicación- requiere </w:t>
      </w:r>
      <w:r w:rsidRPr="00690776">
        <w:t>conocimientos públicos de visiones del mundo y lenguajes situados que implican que los participantes realicen diversos recorridos en dimensiones  semánticas, éticas, estéticas, afectivas de sus enciclopedias</w:t>
      </w:r>
      <w:r w:rsidR="00726D6E" w:rsidRPr="00690776">
        <w:t xml:space="preserve"> </w:t>
      </w:r>
      <w:r w:rsidR="006B04A0" w:rsidRPr="00690776">
        <w:t xml:space="preserve">en los </w:t>
      </w:r>
      <w:r w:rsidR="00726D6E" w:rsidRPr="00690776">
        <w:t>que fundamentan sus acciones comunicativas</w:t>
      </w:r>
      <w:r w:rsidRPr="00690776">
        <w:t xml:space="preserve">; </w:t>
      </w:r>
      <w:r w:rsidR="00AC0DC6" w:rsidRPr="00690776">
        <w:t xml:space="preserve">tales </w:t>
      </w:r>
      <w:r w:rsidR="00726D6E" w:rsidRPr="00690776">
        <w:t>acciones</w:t>
      </w:r>
      <w:r w:rsidRPr="00690776">
        <w:t xml:space="preserve"> afecta</w:t>
      </w:r>
      <w:r w:rsidR="00AC0DC6" w:rsidRPr="00690776">
        <w:t>n</w:t>
      </w:r>
      <w:r w:rsidRPr="00690776">
        <w:t xml:space="preserve"> a las relaciones entre los participantes, incluidas las prácticas, afectivas y de poder, y puede</w:t>
      </w:r>
      <w:r w:rsidR="00AC0DC6" w:rsidRPr="00690776">
        <w:t>n</w:t>
      </w:r>
      <w:r w:rsidRPr="00690776">
        <w:t xml:space="preserve"> alterar o reiterar los universos de sentido previos. ¿Cómo abordar esta complejidad? ¿Una federación de ciencias de la cultura, como propone Rastier</w:t>
      </w:r>
      <w:r w:rsidR="000F2335" w:rsidRPr="00690776">
        <w:t xml:space="preserve">  (2002: 9)</w:t>
      </w:r>
      <w:r w:rsidRPr="00690776">
        <w:t xml:space="preserve">? </w:t>
      </w:r>
      <w:r w:rsidR="00265653">
        <w:t>Esta deseable pero difícil colaboración podría comenzar por el interés común en un mismo objeto, por una cuestión compartida</w:t>
      </w:r>
      <w:r w:rsidRPr="00690776">
        <w:t xml:space="preserve">. </w:t>
      </w:r>
    </w:p>
    <w:p w14:paraId="35B9C6B6" w14:textId="77777777" w:rsidR="00265653" w:rsidRPr="00B90A1D" w:rsidRDefault="00265653" w:rsidP="00265653">
      <w:pPr>
        <w:autoSpaceDE w:val="0"/>
        <w:autoSpaceDN w:val="0"/>
        <w:adjustRightInd w:val="0"/>
        <w:spacing w:after="0" w:line="240" w:lineRule="auto"/>
      </w:pPr>
    </w:p>
    <w:p w14:paraId="3308FF7F" w14:textId="77777777" w:rsidR="00AC0DC6" w:rsidRPr="00690776" w:rsidRDefault="00AC0DC6" w:rsidP="00AC0DC6">
      <w:pPr>
        <w:rPr>
          <w:i/>
          <w:iCs/>
        </w:rPr>
      </w:pPr>
      <w:r w:rsidRPr="00690776">
        <w:rPr>
          <w:i/>
          <w:iCs/>
        </w:rPr>
        <w:t>2. Pragmática e interacción entre sistemas semióticos.</w:t>
      </w:r>
    </w:p>
    <w:p w14:paraId="7B3E7AA2" w14:textId="77777777" w:rsidR="00726D6E" w:rsidRPr="00690776" w:rsidRDefault="00AC0DC6" w:rsidP="00054EF2">
      <w:r w:rsidRPr="00690776">
        <w:t xml:space="preserve">Nuestro punto de partida, </w:t>
      </w:r>
      <w:r w:rsidR="00726D6E" w:rsidRPr="00690776">
        <w:t xml:space="preserve">como hemos hecho con </w:t>
      </w:r>
      <w:r w:rsidR="00265653">
        <w:t>el ejemplo precedente</w:t>
      </w:r>
      <w:r w:rsidRPr="00690776">
        <w:t xml:space="preserve">, será observar textos o prácticas significativas situadas y tratar de integrar la complejidad y variedad de los contextos situándonos, como enseña la pragmática, en la perspectiva del intérprete. </w:t>
      </w:r>
      <w:r w:rsidR="00726D6E" w:rsidRPr="00690776">
        <w:t>Entendemos que la pragmática, como afirma Rastier, “no puede gozar de ninguna autonomía frente a una semántica bien hecha” (2007: 208), que es también la posición de Eco (</w:t>
      </w:r>
      <w:r w:rsidR="00BE2C11" w:rsidRPr="00690776">
        <w:t xml:space="preserve">1984: </w:t>
      </w:r>
      <w:r w:rsidR="00977B60" w:rsidRPr="00690776">
        <w:t>68-69</w:t>
      </w:r>
      <w:r w:rsidR="00726D6E" w:rsidRPr="00690776">
        <w:t>), o de Fontanille</w:t>
      </w:r>
      <w:r w:rsidRPr="00690776">
        <w:t xml:space="preserve">, para quien </w:t>
      </w:r>
      <w:r w:rsidRPr="00690776">
        <w:rPr>
          <w:lang w:val="es-ES_tradnl"/>
        </w:rPr>
        <w:t xml:space="preserve">”el punto de vista del discurso”, neutraliza la diferencia entre texto y contexto, pues supone admitir de entrada que todos los elementos que concurren al proceso de significación, cualesquiera que sean, pertenecen al conjunto significante, es decir, al discurso, </w:t>
      </w:r>
      <w:r w:rsidRPr="00690776">
        <w:t xml:space="preserve">(Fontanille 1998 : 87). </w:t>
      </w:r>
      <w:r w:rsidR="0091655E" w:rsidRPr="00690776">
        <w:t xml:space="preserve"> </w:t>
      </w:r>
      <w:r w:rsidR="004002A2" w:rsidRPr="00690776">
        <w:t>Pero ¿Cómo puede</w:t>
      </w:r>
      <w:r w:rsidR="0091655E" w:rsidRPr="00690776">
        <w:t xml:space="preserve"> la pragmática </w:t>
      </w:r>
      <w:r w:rsidR="004002A2" w:rsidRPr="00690776">
        <w:t>establecer sus</w:t>
      </w:r>
      <w:r w:rsidR="00054EF2" w:rsidRPr="00690776">
        <w:t xml:space="preserve"> límites y procedimientos cua</w:t>
      </w:r>
      <w:r w:rsidR="004002A2" w:rsidRPr="00690776">
        <w:t xml:space="preserve">ndo </w:t>
      </w:r>
      <w:r w:rsidR="0091655E" w:rsidRPr="00690776">
        <w:t xml:space="preserve">los elementos que concurren a la significación son múltiples y </w:t>
      </w:r>
      <w:r w:rsidR="00B04452" w:rsidRPr="00690776">
        <w:t xml:space="preserve">muy </w:t>
      </w:r>
      <w:r w:rsidR="0091655E" w:rsidRPr="00690776">
        <w:t>diferentes en cada encuentro</w:t>
      </w:r>
      <w:r w:rsidR="00054EF2" w:rsidRPr="00690776">
        <w:t>?</w:t>
      </w:r>
    </w:p>
    <w:p w14:paraId="26F38E57" w14:textId="77777777" w:rsidR="0091655E" w:rsidRPr="00690776" w:rsidRDefault="0091655E" w:rsidP="00212A7F">
      <w:pPr>
        <w:rPr>
          <w:lang w:val="es-ES_tradnl"/>
        </w:rPr>
      </w:pPr>
      <w:r w:rsidRPr="00690776">
        <w:t xml:space="preserve">Podemos empezar por la aparentemente inabarcable diversidad de situaciones. Para el intérprete el más elemental enunciado tiene sentido según la situación en que se da. Según Bruner “Desarrollamos muy pronto la aprehensión de lo que se espera en cierta situación, de lo que le es conforme, de lo que las circunstancias presentes obligan a hacer y de lo que los actores comprenden que tales circunstancias exigen”. Todo esto corresponde a los </w:t>
      </w:r>
      <w:r w:rsidRPr="00690776">
        <w:rPr>
          <w:i/>
          <w:iCs/>
        </w:rPr>
        <w:t>scripts</w:t>
      </w:r>
      <w:r w:rsidRPr="00690776">
        <w:t xml:space="preserve"> de Shank y Abelson (que también recoge Eco), que  “constituyen el campo en el que se realizan los juegos semióticos, el terreno en el que se desarrollan nuestras actividades pr</w:t>
      </w:r>
      <w:r w:rsidR="00054EF2" w:rsidRPr="00690776">
        <w:t>agmáticas” (Bruner, 2002:96</w:t>
      </w:r>
      <w:r w:rsidRPr="00690776">
        <w:t xml:space="preserve">. </w:t>
      </w:r>
      <w:r w:rsidR="00054EF2" w:rsidRPr="00690776">
        <w:t>Ya</w:t>
      </w:r>
      <w:r w:rsidRPr="00690776">
        <w:t xml:space="preserve"> Goffman</w:t>
      </w:r>
      <w:r w:rsidR="00054EF2" w:rsidRPr="00690776">
        <w:t xml:space="preserve"> había </w:t>
      </w:r>
      <w:r w:rsidR="00212A7F" w:rsidRPr="00690776">
        <w:t>precisado</w:t>
      </w:r>
      <w:r w:rsidR="00054EF2" w:rsidRPr="00690776">
        <w:t xml:space="preserve"> la competencia social en la “definición de la situación”).</w:t>
      </w:r>
      <w:r w:rsidRPr="00690776">
        <w:t xml:space="preserve"> </w:t>
      </w:r>
      <w:r w:rsidR="00054EF2" w:rsidRPr="00690776">
        <w:t>T</w:t>
      </w:r>
      <w:r w:rsidRPr="00690776">
        <w:t xml:space="preserve">ambién en las disciplinas del lenguaje se afirma que </w:t>
      </w:r>
      <w:r w:rsidRPr="00690776">
        <w:rPr>
          <w:lang w:val="es-ES_tradnl"/>
        </w:rPr>
        <w:t xml:space="preserve">“una situación no es un simple estado de cosas, ni </w:t>
      </w:r>
      <w:r w:rsidRPr="00690776">
        <w:t>una relación intersubjetiva que escape a la historia: se define y circunscribe por relación a una legalidad cultural y social en la que adquiere su sentido inicial. En otros términos, una situación es una ocurrencia de una práctica social” (Rastier, 1998). Por tanto, no nos enfrentamos a una infinidad</w:t>
      </w:r>
      <w:r w:rsidRPr="00690776">
        <w:rPr>
          <w:lang w:val="es-ES_tradnl"/>
        </w:rPr>
        <w:t xml:space="preserve"> de posibilidades sino a situaciones tipificadas y reguladas socialmente, que forman parte de la enciclopedia de los actores sociales.</w:t>
      </w:r>
      <w:r w:rsidR="006607D9" w:rsidRPr="00690776">
        <w:rPr>
          <w:lang w:val="es-ES_tradnl"/>
        </w:rPr>
        <w:t xml:space="preserve"> (En </w:t>
      </w:r>
      <w:r w:rsidRPr="00690776">
        <w:rPr>
          <w:lang w:val="es-ES_tradnl"/>
        </w:rPr>
        <w:t>los textos escritos, las películas, los programas de televisión, las páginas web, etc., el receptor identifica el género y el tipo de discurso como un primer paso para comprender, entre otras cosas, el tipo de comunicación y de relación interlocutiva que prevé ese texto</w:t>
      </w:r>
      <w:r w:rsidR="00B72C37" w:rsidRPr="00690776">
        <w:rPr>
          <w:lang w:val="es-ES_tradnl"/>
        </w:rPr>
        <w:t xml:space="preserve"> y a continuación identifica las situaciones sociales tal como son transformadas por cada género para su representación</w:t>
      </w:r>
      <w:r w:rsidR="006607D9" w:rsidRPr="00690776">
        <w:rPr>
          <w:lang w:val="es-ES_tradnl"/>
        </w:rPr>
        <w:t xml:space="preserve"> convencionalizada</w:t>
      </w:r>
      <w:r w:rsidRPr="00690776">
        <w:rPr>
          <w:lang w:val="es-ES_tradnl"/>
        </w:rPr>
        <w:t>.</w:t>
      </w:r>
      <w:r w:rsidR="006607D9" w:rsidRPr="00690776">
        <w:rPr>
          <w:lang w:val="es-ES_tradnl"/>
        </w:rPr>
        <w:t>)</w:t>
      </w:r>
      <w:r w:rsidR="00E47DC8" w:rsidRPr="00690776">
        <w:rPr>
          <w:lang w:val="es-ES_tradnl"/>
        </w:rPr>
        <w:t xml:space="preserve"> Estas tipificaciones de los participantes, que incluyen la caracterización de los actores y sus universos de sentido, interesan a la semiótica que quiera </w:t>
      </w:r>
      <w:r w:rsidR="00E47DC8" w:rsidRPr="00690776">
        <w:rPr>
          <w:lang w:val="es-ES_tradnl"/>
        </w:rPr>
        <w:lastRenderedPageBreak/>
        <w:t>comprender la vida social del sentido, sin perjuicio de que haya de separarse del punto de vista de los participantes en otros pasos de su estudio</w:t>
      </w:r>
      <w:r w:rsidR="00D6106B">
        <w:rPr>
          <w:lang w:val="es-ES_tradnl"/>
        </w:rPr>
        <w:t>, como señalaré</w:t>
      </w:r>
      <w:r w:rsidR="00E47DC8" w:rsidRPr="00690776">
        <w:rPr>
          <w:lang w:val="es-ES_tradnl"/>
        </w:rPr>
        <w:t>.</w:t>
      </w:r>
    </w:p>
    <w:p w14:paraId="68A87240" w14:textId="77777777" w:rsidR="001808D1" w:rsidRPr="00690776" w:rsidRDefault="0091655E" w:rsidP="00054EF2">
      <w:r w:rsidRPr="00690776">
        <w:t xml:space="preserve">Eco </w:t>
      </w:r>
      <w:r w:rsidR="00054EF2" w:rsidRPr="00690776">
        <w:t>apunta a</w:t>
      </w:r>
      <w:r w:rsidRPr="00690776">
        <w:t xml:space="preserve"> otra dimensión clave, que ha asomado en el encuentro de Parain y el banquero, la del sentido del intercambio. Para explicar los intercambios significativos, afirma, hay que entender cómo en cada ocasión y contexto, cierta parte de la enciclopedia es activada en la interpretación ¿cómo? Por dos vías: a) a partir de la identificación de un tema o topic, y por lo tanto la elección de un recorrido de interpretación o isotopía, o b) por la referencia a frames, scripts o guiones intertextuales que permiten determinar no sólo de qué se está hablando, sino también desde qué perspectiva, con qué fines y en qué dirección provisional (Eco 1984: 211-212). Definir la situación es un paso necesario, pero para participar en ella es preciso </w:t>
      </w:r>
      <w:r w:rsidR="00D32A10" w:rsidRPr="00690776">
        <w:t>determinar</w:t>
      </w:r>
      <w:r w:rsidRPr="00690776">
        <w:t xml:space="preserve"> también de qué se trata, el tema o topic de la conversación, y los esquemas o guiones que está implicando el interlocutor.</w:t>
      </w:r>
    </w:p>
    <w:p w14:paraId="2133E881" w14:textId="77777777" w:rsidR="00D32A10" w:rsidRPr="00690776" w:rsidRDefault="00D32A10" w:rsidP="006B04A0">
      <w:r w:rsidRPr="00690776">
        <w:t xml:space="preserve">Un paso más en esta compleja cuestión del contexto de la enunciación, con todos los conocimientos y supuestos que hace intervenir, es el que da Meyer, que  </w:t>
      </w:r>
      <w:r w:rsidR="006B04A0" w:rsidRPr="00690776">
        <w:t>sugiere</w:t>
      </w:r>
      <w:r w:rsidRPr="00690776">
        <w:t xml:space="preserve"> adoptar el punto de vista de la interpretación que propone cada enunciación. ¿Cómo decidir  si la frase “las serpientes son venenosas” es utilizada como una advertencia o como una pregunta si se ignora el contexto de su enunciación, es decir el problema que plantea su enunciador? (1993: 66). La interpretación contiene siempre una referencia esencial a la cuestión que se plantea, señala Meyer. Y recordando a Gadamer afirma que el sentido de una proposición es relativo a la cuestión de la que constituye una respuesta. Desde este punto de vista, un enunciado pone algo en cuestión y deja algo fuera de cuestión; la interpretación debe decidir, además de</w:t>
      </w:r>
      <w:r w:rsidR="00C62CEF" w:rsidRPr="00690776">
        <w:t xml:space="preserve"> cuál es la cuestión -</w:t>
      </w:r>
      <w:r w:rsidRPr="00690776">
        <w:t>el topic y los esquemas de sentido pertinentes, diría Eco</w:t>
      </w:r>
      <w:r w:rsidR="00C62CEF" w:rsidRPr="00690776">
        <w:t>-</w:t>
      </w:r>
      <w:r w:rsidRPr="00690776">
        <w:t xml:space="preserve">, si acepta lo que supone como no cuestionable, lo presupuesto e implicado (del mismo modo que Parain ha de decidir si discute con el banquero el significado de “soldado” o </w:t>
      </w:r>
      <w:r w:rsidR="006B04A0" w:rsidRPr="00690776">
        <w:t>evita hacer</w:t>
      </w:r>
      <w:r w:rsidRPr="00690776">
        <w:t xml:space="preserve"> de esto un problema y le engaña).</w:t>
      </w:r>
    </w:p>
    <w:p w14:paraId="5F6B5BE0" w14:textId="77777777" w:rsidR="00593A91" w:rsidRPr="00690776" w:rsidRDefault="00D32A10" w:rsidP="00FF2E90">
      <w:r w:rsidRPr="00690776">
        <w:t xml:space="preserve">Es esta una visión estratégica de la interacción comunicativa, como quiere Fabbri, que aporta una guía para el análisis; propone observar qué se cuestiona y qué deja de cuestionarse en cada encuentro. Si entender un enunciado en un intercambio comunicativo requiere ubicar el asunto, la perspectiva, los fines y la orientación de su enunciación, como dice Eco, la manera en que como intérpretes captamos esto es, según Meyer, entendiendo a qué </w:t>
      </w:r>
      <w:r w:rsidR="00953677" w:rsidRPr="00690776">
        <w:t xml:space="preserve">problema o </w:t>
      </w:r>
      <w:r w:rsidRPr="00690776">
        <w:t xml:space="preserve">cuestión da respuesta el enunciado. Y como analistas habremos de observar que esa cuestión, ese objeto o topic del enunciado, es siempre potencialmente polémico, si bien no siempre es fácil captar lo “problemático” del enunciado, lo implícito o presupuesto que sólo puede ser evidenciado mostrando, como hace </w:t>
      </w:r>
      <w:r w:rsidR="001E19E1" w:rsidRPr="00690776">
        <w:t>Parain</w:t>
      </w:r>
      <w:r w:rsidRPr="00690776">
        <w:t xml:space="preserve">, la visión del mundo que implica tal sistema como conjunto. ¿Cómo hacerlo? </w:t>
      </w:r>
    </w:p>
    <w:p w14:paraId="34B0975D" w14:textId="77777777" w:rsidR="005248C8" w:rsidRPr="00690776" w:rsidRDefault="00D1577D" w:rsidP="00593A91">
      <w:pPr>
        <w:rPr>
          <w:i/>
          <w:iCs/>
        </w:rPr>
      </w:pPr>
      <w:r w:rsidRPr="00690776">
        <w:rPr>
          <w:i/>
          <w:iCs/>
        </w:rPr>
        <w:t xml:space="preserve">3. </w:t>
      </w:r>
      <w:r w:rsidR="00127A0E" w:rsidRPr="00690776">
        <w:rPr>
          <w:i/>
          <w:iCs/>
        </w:rPr>
        <w:t>Prejuicios,</w:t>
      </w:r>
      <w:r w:rsidR="005248C8" w:rsidRPr="00690776">
        <w:rPr>
          <w:i/>
          <w:iCs/>
        </w:rPr>
        <w:t xml:space="preserve"> doble mirada</w:t>
      </w:r>
      <w:r w:rsidR="00127A0E" w:rsidRPr="00690776">
        <w:rPr>
          <w:i/>
          <w:iCs/>
        </w:rPr>
        <w:t xml:space="preserve"> y diálogo.</w:t>
      </w:r>
    </w:p>
    <w:p w14:paraId="75AB8F57" w14:textId="77777777" w:rsidR="00624461" w:rsidRPr="00690776" w:rsidRDefault="00624461" w:rsidP="00F82829">
      <w:r w:rsidRPr="00690776">
        <w:t xml:space="preserve">Sugiere Landowski, siguiendo a Greimas, que cuando el universo significante no es objetivable en cuanto tal, pues se trata del mismo universo de sentido al que pertenecemos los analistas, la única posibilidad que se nos ofrece es la de analizarlo “desde el interior” haciendo aparecer aquello que “allí se encuentra implicado”: cierta “visión del mundo” (Landowski 2012). Diríamos que comprender cierta enunciación como una visión del mundo implica verla “desde el interior”, en el detalle de las asociaciones de sentido y valor que implica, pero al tiempo </w:t>
      </w:r>
      <w:r w:rsidR="00BA1388" w:rsidRPr="00690776">
        <w:lastRenderedPageBreak/>
        <w:t xml:space="preserve">hemos de </w:t>
      </w:r>
      <w:r w:rsidR="00127A0E" w:rsidRPr="00690776">
        <w:t xml:space="preserve">tratar de </w:t>
      </w:r>
      <w:r w:rsidR="00BA1388" w:rsidRPr="00690776">
        <w:t>ampliar nuestra percepción para adoptar cierta distancia que permita</w:t>
      </w:r>
      <w:r w:rsidRPr="00690776">
        <w:t xml:space="preserve"> captar esa visión “desde el exterior” como una unidad o un sistema y </w:t>
      </w:r>
      <w:r w:rsidR="00F82829" w:rsidRPr="00690776">
        <w:t>concebirla</w:t>
      </w:r>
      <w:r w:rsidRPr="00690776">
        <w:t xml:space="preserve"> como una entre otras</w:t>
      </w:r>
      <w:r w:rsidR="00F82829" w:rsidRPr="00690776">
        <w:t xml:space="preserve"> posibles</w:t>
      </w:r>
      <w:r w:rsidRPr="00690776">
        <w:t xml:space="preserve">. </w:t>
      </w:r>
    </w:p>
    <w:p w14:paraId="51A70486" w14:textId="77777777" w:rsidR="00CA309D" w:rsidRPr="00690776" w:rsidRDefault="00D32A10" w:rsidP="00576138">
      <w:pPr>
        <w:autoSpaceDE w:val="0"/>
        <w:autoSpaceDN w:val="0"/>
        <w:adjustRightInd w:val="0"/>
        <w:spacing w:after="0" w:line="240" w:lineRule="auto"/>
      </w:pPr>
      <w:r w:rsidRPr="00690776">
        <w:t xml:space="preserve">Es un ejercicio de </w:t>
      </w:r>
      <w:r w:rsidR="00C62CEF" w:rsidRPr="00690776">
        <w:t>doble mirada, próxima y distante,</w:t>
      </w:r>
      <w:r w:rsidRPr="00690776">
        <w:t xml:space="preserve"> que no sólo realizan los estudiosos para objetivar lo que observan, sino algo que, en mayor o menor grado, </w:t>
      </w:r>
      <w:r w:rsidR="007F61BB" w:rsidRPr="00690776">
        <w:t>podemos hacer</w:t>
      </w:r>
      <w:r w:rsidRPr="00690776">
        <w:t xml:space="preserve"> cualesquiera hablantes en las conversac</w:t>
      </w:r>
      <w:r w:rsidR="00953677" w:rsidRPr="00690776">
        <w:t xml:space="preserve">iones y discusiones cotidianas, </w:t>
      </w:r>
      <w:r w:rsidRPr="00690776">
        <w:t>como</w:t>
      </w:r>
      <w:r w:rsidR="00C878CE" w:rsidRPr="00690776">
        <w:t xml:space="preserve"> insiste Lotman y como</w:t>
      </w:r>
      <w:r w:rsidRPr="00690776">
        <w:t xml:space="preserve"> hace Parain con l</w:t>
      </w:r>
      <w:r w:rsidR="00953677" w:rsidRPr="00690776">
        <w:t>a visión del mundo del banquero</w:t>
      </w:r>
      <w:r w:rsidR="00C62CEF" w:rsidRPr="00690776">
        <w:t>.</w:t>
      </w:r>
      <w:r w:rsidR="00953677" w:rsidRPr="00690776">
        <w:t xml:space="preserve"> Pero Parain está forzado por la situación y por su propósito en ella a comprender qué implica la pregunta del banquero sobre su puesto en la guerra y posee un conocimiento social de ese tipo de actor y de su universo de sentido. Ver los prejuicios de otros no es difícil</w:t>
      </w:r>
      <w:r w:rsidR="005248C8" w:rsidRPr="00690776">
        <w:t xml:space="preserve"> –cuando se conoce</w:t>
      </w:r>
      <w:r w:rsidR="00C24187" w:rsidRPr="00690776">
        <w:t xml:space="preserve"> o se cree conocer </w:t>
      </w:r>
      <w:r w:rsidR="005248C8" w:rsidRPr="00690776">
        <w:t>sus universos de sentido-</w:t>
      </w:r>
      <w:r w:rsidR="00953677" w:rsidRPr="00690776">
        <w:t>, lo difícil es ver los propios, distanciarse de lo que damos por descontado, aquello que “no se nos ocurre que pueda ser cuestionado</w:t>
      </w:r>
      <w:r w:rsidR="00593A91" w:rsidRPr="00690776">
        <w:t>”</w:t>
      </w:r>
      <w:r w:rsidR="00953677" w:rsidRPr="00690776">
        <w:t xml:space="preserve"> (Peirce C.P. 5.265)</w:t>
      </w:r>
      <w:r w:rsidR="00593A91" w:rsidRPr="00690776">
        <w:t xml:space="preserve">. </w:t>
      </w:r>
    </w:p>
    <w:p w14:paraId="0F6575B4" w14:textId="77777777" w:rsidR="005708A1" w:rsidRPr="00690776" w:rsidRDefault="005708A1" w:rsidP="005708A1"/>
    <w:p w14:paraId="426138E2" w14:textId="77777777" w:rsidR="005708A1" w:rsidRPr="00690776" w:rsidRDefault="005708A1" w:rsidP="005708A1">
      <w:r w:rsidRPr="00690776">
        <w:rPr>
          <w:noProof/>
          <w:lang w:eastAsia="es-ES" w:bidi="ar-SA"/>
        </w:rPr>
        <w:drawing>
          <wp:inline distT="0" distB="0" distL="0" distR="0" wp14:anchorId="460175E5" wp14:editId="4114A2F7">
            <wp:extent cx="3481601" cy="2272352"/>
            <wp:effectExtent l="19050" t="0" r="4549" b="0"/>
            <wp:docPr id="1" name="Imagen 1" descr="may 25 06"/>
            <wp:cNvGraphicFramePr/>
            <a:graphic xmlns:a="http://schemas.openxmlformats.org/drawingml/2006/main">
              <a:graphicData uri="http://schemas.openxmlformats.org/drawingml/2006/picture">
                <pic:pic xmlns:pic="http://schemas.openxmlformats.org/drawingml/2006/picture">
                  <pic:nvPicPr>
                    <pic:cNvPr id="18434" name="Picture 2" descr="may 25 06"/>
                    <pic:cNvPicPr>
                      <a:picLocks noChangeAspect="1" noChangeArrowheads="1"/>
                    </pic:cNvPicPr>
                  </pic:nvPicPr>
                  <pic:blipFill>
                    <a:blip r:embed="rId7" cstate="print"/>
                    <a:srcRect/>
                    <a:stretch>
                      <a:fillRect/>
                    </a:stretch>
                  </pic:blipFill>
                  <pic:spPr bwMode="auto">
                    <a:xfrm>
                      <a:off x="0" y="0"/>
                      <a:ext cx="3483547" cy="2273622"/>
                    </a:xfrm>
                    <a:prstGeom prst="rect">
                      <a:avLst/>
                    </a:prstGeom>
                    <a:noFill/>
                    <a:ln w="9525">
                      <a:noFill/>
                      <a:miter lim="800000"/>
                      <a:headEnd/>
                      <a:tailEnd/>
                    </a:ln>
                  </pic:spPr>
                </pic:pic>
              </a:graphicData>
            </a:graphic>
          </wp:inline>
        </w:drawing>
      </w:r>
    </w:p>
    <w:p w14:paraId="26CFFC50" w14:textId="77777777" w:rsidR="005708A1" w:rsidRPr="00690776" w:rsidRDefault="007F61BB" w:rsidP="007F61BB">
      <w:pPr>
        <w:rPr>
          <w:bCs/>
        </w:rPr>
      </w:pPr>
      <w:r w:rsidRPr="00690776">
        <w:rPr>
          <w:bCs/>
          <w:i/>
          <w:iCs/>
        </w:rPr>
        <w:t>Figura 1</w:t>
      </w:r>
      <w:r w:rsidRPr="00690776">
        <w:rPr>
          <w:bCs/>
        </w:rPr>
        <w:t xml:space="preserve">. </w:t>
      </w:r>
      <w:r w:rsidR="00BA1388" w:rsidRPr="00690776">
        <w:rPr>
          <w:bCs/>
        </w:rPr>
        <w:t>“</w:t>
      </w:r>
      <w:r w:rsidR="00063282" w:rsidRPr="00690776">
        <w:rPr>
          <w:bCs/>
        </w:rPr>
        <w:t>A mí</w:t>
      </w:r>
      <w:r w:rsidR="00BA1388" w:rsidRPr="00690776">
        <w:rPr>
          <w:bCs/>
        </w:rPr>
        <w:t xml:space="preserve"> los inmigrantes me dan mucha pena” / “A mí, cuando no me dan miedo, también”. </w:t>
      </w:r>
      <w:r w:rsidR="005708A1" w:rsidRPr="00690776">
        <w:rPr>
          <w:bCs/>
        </w:rPr>
        <w:t xml:space="preserve">El Roto, </w:t>
      </w:r>
      <w:r w:rsidR="005708A1" w:rsidRPr="00690776">
        <w:rPr>
          <w:bCs/>
          <w:i/>
          <w:iCs/>
        </w:rPr>
        <w:t>El País</w:t>
      </w:r>
      <w:r w:rsidRPr="00690776">
        <w:rPr>
          <w:bCs/>
        </w:rPr>
        <w:t>, 25 Mayo</w:t>
      </w:r>
      <w:r w:rsidR="005708A1" w:rsidRPr="00690776">
        <w:rPr>
          <w:bCs/>
        </w:rPr>
        <w:t xml:space="preserve"> 2006</w:t>
      </w:r>
    </w:p>
    <w:p w14:paraId="140F441C" w14:textId="485E586E" w:rsidR="00624461" w:rsidRPr="00690776" w:rsidRDefault="00BA1388" w:rsidP="00257786">
      <w:pPr>
        <w:rPr>
          <w:bCs/>
        </w:rPr>
      </w:pPr>
      <w:r w:rsidRPr="00690776">
        <w:rPr>
          <w:bCs/>
        </w:rPr>
        <w:t>La</w:t>
      </w:r>
      <w:r w:rsidR="007F61BB" w:rsidRPr="00690776">
        <w:rPr>
          <w:bCs/>
        </w:rPr>
        <w:t xml:space="preserve"> figura 1</w:t>
      </w:r>
      <w:r w:rsidR="009C5B0E" w:rsidRPr="00690776">
        <w:rPr>
          <w:bCs/>
        </w:rPr>
        <w:t xml:space="preserve"> presenta una conversación de dos mujeres en una peluquería, una situación conocida y tipificada socialmente en la que se espera una conversación “casual”</w:t>
      </w:r>
      <w:r w:rsidR="00666136" w:rsidRPr="00690776">
        <w:rPr>
          <w:bCs/>
        </w:rPr>
        <w:t xml:space="preserve"> </w:t>
      </w:r>
      <w:r w:rsidR="00FF2E90" w:rsidRPr="00690776">
        <w:rPr>
          <w:bCs/>
        </w:rPr>
        <w:t>llena</w:t>
      </w:r>
      <w:r w:rsidR="00666136" w:rsidRPr="00690776">
        <w:rPr>
          <w:bCs/>
        </w:rPr>
        <w:t xml:space="preserve"> de lugares comunes, o al menos donde </w:t>
      </w:r>
      <w:r w:rsidR="00624461" w:rsidRPr="00690776">
        <w:rPr>
          <w:bCs/>
        </w:rPr>
        <w:t>nadie</w:t>
      </w:r>
      <w:r w:rsidR="00666136" w:rsidRPr="00690776">
        <w:rPr>
          <w:bCs/>
        </w:rPr>
        <w:t xml:space="preserve"> </w:t>
      </w:r>
      <w:r w:rsidR="00BD26BD" w:rsidRPr="00690776">
        <w:rPr>
          <w:bCs/>
        </w:rPr>
        <w:t>pretende</w:t>
      </w:r>
      <w:r w:rsidR="00666136" w:rsidRPr="00690776">
        <w:rPr>
          <w:bCs/>
        </w:rPr>
        <w:t xml:space="preserve"> cuestionar los supuestos de </w:t>
      </w:r>
      <w:r w:rsidR="00624461" w:rsidRPr="00690776">
        <w:rPr>
          <w:bCs/>
        </w:rPr>
        <w:t>los demás</w:t>
      </w:r>
      <w:r w:rsidR="00666136" w:rsidRPr="00690776">
        <w:rPr>
          <w:bCs/>
        </w:rPr>
        <w:t xml:space="preserve">. Las interlocutoras de la escena muestran algo de sus sistemas de sentido, de los estereotipos </w:t>
      </w:r>
      <w:r w:rsidR="00C24187" w:rsidRPr="00690776">
        <w:rPr>
          <w:bCs/>
        </w:rPr>
        <w:t xml:space="preserve">que comparten </w:t>
      </w:r>
      <w:r w:rsidR="00666136" w:rsidRPr="00690776">
        <w:rPr>
          <w:bCs/>
        </w:rPr>
        <w:t>sobre los inmigrantes, cuya consistencia comprendemos por cómo afectan a sus modos de sentir (</w:t>
      </w:r>
      <w:r w:rsidR="00BD26BD" w:rsidRPr="00690776">
        <w:rPr>
          <w:bCs/>
        </w:rPr>
        <w:t xml:space="preserve">a </w:t>
      </w:r>
      <w:r w:rsidR="00666136" w:rsidRPr="00690776">
        <w:rPr>
          <w:bCs/>
        </w:rPr>
        <w:t>su pena y su miedo). ¿Se limita la viñeta a presentar estos estereotipos? Cualquier lector de periódicos conoce este popular género y el tipo de lectura “indirecta”</w:t>
      </w:r>
      <w:r w:rsidR="00BD26BD" w:rsidRPr="00690776">
        <w:rPr>
          <w:bCs/>
        </w:rPr>
        <w:t xml:space="preserve"> que requiere. La toma c</w:t>
      </w:r>
      <w:r w:rsidR="00666136" w:rsidRPr="00690776">
        <w:rPr>
          <w:bCs/>
        </w:rPr>
        <w:t xml:space="preserve">omo </w:t>
      </w:r>
      <w:r w:rsidR="00BD26BD" w:rsidRPr="00690776">
        <w:rPr>
          <w:bCs/>
        </w:rPr>
        <w:t>una</w:t>
      </w:r>
      <w:r w:rsidR="00666136" w:rsidRPr="00690776">
        <w:rPr>
          <w:bCs/>
        </w:rPr>
        <w:t xml:space="preserve"> forma de humo</w:t>
      </w:r>
      <w:r w:rsidR="00BD26BD" w:rsidRPr="00690776">
        <w:rPr>
          <w:bCs/>
        </w:rPr>
        <w:t>r que</w:t>
      </w:r>
      <w:r w:rsidR="00666136" w:rsidRPr="00690776">
        <w:rPr>
          <w:bCs/>
        </w:rPr>
        <w:t xml:space="preserve">, más que invitar a la risa invita a no tomar </w:t>
      </w:r>
      <w:r w:rsidR="00BD26BD" w:rsidRPr="00690776">
        <w:rPr>
          <w:bCs/>
        </w:rPr>
        <w:t>“</w:t>
      </w:r>
      <w:r w:rsidR="00666136" w:rsidRPr="00690776">
        <w:rPr>
          <w:bCs/>
        </w:rPr>
        <w:t>en serio</w:t>
      </w:r>
      <w:r w:rsidR="00BD26BD" w:rsidRPr="00690776">
        <w:rPr>
          <w:bCs/>
        </w:rPr>
        <w:t>”</w:t>
      </w:r>
      <w:r w:rsidR="00666136" w:rsidRPr="00690776">
        <w:rPr>
          <w:bCs/>
        </w:rPr>
        <w:t>, no leer literalm</w:t>
      </w:r>
      <w:r w:rsidR="00BD26BD" w:rsidRPr="00690776">
        <w:rPr>
          <w:bCs/>
        </w:rPr>
        <w:t>ente lo que se dice en ese marco</w:t>
      </w:r>
      <w:r w:rsidR="00FF2E90" w:rsidRPr="00690776">
        <w:rPr>
          <w:bCs/>
        </w:rPr>
        <w:t xml:space="preserve"> y </w:t>
      </w:r>
      <w:r w:rsidR="008728AF">
        <w:rPr>
          <w:bCs/>
        </w:rPr>
        <w:t xml:space="preserve">a </w:t>
      </w:r>
      <w:r w:rsidR="00FF2E90" w:rsidRPr="00690776">
        <w:rPr>
          <w:bCs/>
        </w:rPr>
        <w:t>buscar un segundo sentido</w:t>
      </w:r>
      <w:r w:rsidR="00666136" w:rsidRPr="00690776">
        <w:rPr>
          <w:bCs/>
        </w:rPr>
        <w:t xml:space="preserve">. </w:t>
      </w:r>
      <w:r w:rsidR="00BD26BD" w:rsidRPr="00690776">
        <w:rPr>
          <w:bCs/>
        </w:rPr>
        <w:t>Lo que el enunciador hace al encuadrar la conversación es dirigirse al destinatario para desafiar su interpretación</w:t>
      </w:r>
      <w:r w:rsidR="00C24187" w:rsidRPr="00690776">
        <w:rPr>
          <w:bCs/>
        </w:rPr>
        <w:t xml:space="preserve"> (</w:t>
      </w:r>
      <w:r w:rsidR="00257786" w:rsidRPr="00690776">
        <w:rPr>
          <w:bCs/>
        </w:rPr>
        <w:t>al modo de</w:t>
      </w:r>
      <w:r w:rsidR="00C24187" w:rsidRPr="00690776">
        <w:rPr>
          <w:bCs/>
        </w:rPr>
        <w:t xml:space="preserve"> la alegoría)</w:t>
      </w:r>
      <w:r w:rsidR="00BD26BD" w:rsidRPr="00690776">
        <w:rPr>
          <w:bCs/>
        </w:rPr>
        <w:t xml:space="preserve">, </w:t>
      </w:r>
      <w:r w:rsidR="0037400B" w:rsidRPr="00690776">
        <w:rPr>
          <w:bCs/>
        </w:rPr>
        <w:t>como si le dijera</w:t>
      </w:r>
      <w:r w:rsidR="00BD26BD" w:rsidRPr="00690776">
        <w:rPr>
          <w:bCs/>
        </w:rPr>
        <w:t xml:space="preserve"> “¿Ves?, así son tus/nuestros lugares comunes sobre los inmigrantes”.</w:t>
      </w:r>
      <w:r w:rsidR="00666136" w:rsidRPr="00690776">
        <w:rPr>
          <w:bCs/>
        </w:rPr>
        <w:t xml:space="preserve"> </w:t>
      </w:r>
      <w:r w:rsidR="00BD26BD" w:rsidRPr="00690776">
        <w:rPr>
          <w:bCs/>
        </w:rPr>
        <w:t>Los personajes no están parodiados de forma que se sugiera una distancia total del enunciador respecto a sus formas de sentir, comprender y hablar. Estos personajes e ideas son presentados sencillamente como muy comunes</w:t>
      </w:r>
      <w:r w:rsidR="00C24187" w:rsidRPr="00690776">
        <w:rPr>
          <w:bCs/>
        </w:rPr>
        <w:t xml:space="preserve">, nada nuevo; lo nuevo es </w:t>
      </w:r>
      <w:r w:rsidR="00BD26BD" w:rsidRPr="00690776">
        <w:rPr>
          <w:bCs/>
        </w:rPr>
        <w:t>el hecho de mostrarlos, distanciarse de ellos para verlos como “visiones del mundo” y así des-natural</w:t>
      </w:r>
      <w:r w:rsidR="00C24187" w:rsidRPr="00690776">
        <w:rPr>
          <w:bCs/>
        </w:rPr>
        <w:t>izados o relativizad</w:t>
      </w:r>
      <w:r w:rsidR="00BD26BD" w:rsidRPr="00690776">
        <w:rPr>
          <w:bCs/>
        </w:rPr>
        <w:t>os</w:t>
      </w:r>
      <w:r w:rsidR="00C24187" w:rsidRPr="00690776">
        <w:rPr>
          <w:bCs/>
        </w:rPr>
        <w:t xml:space="preserve"> aparecen como no inocentes formas de conectar sentido social y sentimiento individual, aunque compartido. </w:t>
      </w:r>
    </w:p>
    <w:p w14:paraId="28B49EBF" w14:textId="77777777" w:rsidR="00624461" w:rsidRPr="00690776" w:rsidRDefault="00C24187" w:rsidP="00F82829">
      <w:pPr>
        <w:rPr>
          <w:bCs/>
        </w:rPr>
      </w:pPr>
      <w:r w:rsidRPr="00690776">
        <w:rPr>
          <w:bCs/>
        </w:rPr>
        <w:lastRenderedPageBreak/>
        <w:t xml:space="preserve">Si no destruye los sistemas de significación previos, </w:t>
      </w:r>
      <w:r w:rsidR="00C5785E" w:rsidRPr="00690776">
        <w:rPr>
          <w:bCs/>
        </w:rPr>
        <w:t xml:space="preserve">este texto </w:t>
      </w:r>
      <w:r w:rsidRPr="00690776">
        <w:rPr>
          <w:bCs/>
        </w:rPr>
        <w:t xml:space="preserve">sí pretende </w:t>
      </w:r>
      <w:r w:rsidR="00C5785E" w:rsidRPr="00690776">
        <w:rPr>
          <w:bCs/>
        </w:rPr>
        <w:t>evidenciarlos</w:t>
      </w:r>
      <w:r w:rsidRPr="00690776">
        <w:rPr>
          <w:bCs/>
        </w:rPr>
        <w:t xml:space="preserve"> y desplazar </w:t>
      </w:r>
      <w:r w:rsidR="004A2217" w:rsidRPr="00690776">
        <w:rPr>
          <w:bCs/>
        </w:rPr>
        <w:t>el</w:t>
      </w:r>
      <w:r w:rsidRPr="00690776">
        <w:rPr>
          <w:bCs/>
        </w:rPr>
        <w:t xml:space="preserve"> punto de vista conforme</w:t>
      </w:r>
      <w:r w:rsidR="00C5785E" w:rsidRPr="00690776">
        <w:rPr>
          <w:bCs/>
        </w:rPr>
        <w:t xml:space="preserve"> a los mismos</w:t>
      </w:r>
      <w:r w:rsidR="005C0086" w:rsidRPr="00690776">
        <w:rPr>
          <w:bCs/>
        </w:rPr>
        <w:t xml:space="preserve"> e incapaz de ver cómo podrían ser cuestionados.</w:t>
      </w:r>
      <w:r w:rsidR="00C5785E" w:rsidRPr="00690776">
        <w:rPr>
          <w:bCs/>
        </w:rPr>
        <w:t xml:space="preserve"> A partir de este nuevo marco, los estereotipos sobre los inmigrantes que conducen a sentir por ellos pena o miedo aparecen como un sistema de supuestos</w:t>
      </w:r>
      <w:r w:rsidR="00B7097E" w:rsidRPr="00690776">
        <w:rPr>
          <w:bCs/>
        </w:rPr>
        <w:t>-visión del mundo</w:t>
      </w:r>
      <w:r w:rsidR="00C5785E" w:rsidRPr="00690776">
        <w:rPr>
          <w:bCs/>
        </w:rPr>
        <w:t xml:space="preserve"> entre otros posibles</w:t>
      </w:r>
      <w:r w:rsidR="006C3DEA" w:rsidRPr="00690776">
        <w:rPr>
          <w:bCs/>
        </w:rPr>
        <w:t>, es decir, como cuestionables</w:t>
      </w:r>
      <w:r w:rsidR="00C5785E" w:rsidRPr="00690776">
        <w:rPr>
          <w:bCs/>
        </w:rPr>
        <w:t xml:space="preserve">. Un lector </w:t>
      </w:r>
      <w:r w:rsidR="004A2217" w:rsidRPr="00690776">
        <w:rPr>
          <w:bCs/>
        </w:rPr>
        <w:t>ingenuo</w:t>
      </w:r>
      <w:r w:rsidR="00C5785E" w:rsidRPr="00690776">
        <w:rPr>
          <w:bCs/>
        </w:rPr>
        <w:t xml:space="preserve"> podría preguntarse qué otros modos puede haber de entender esta cuestión. </w:t>
      </w:r>
      <w:r w:rsidR="00F82829" w:rsidRPr="00690776">
        <w:rPr>
          <w:bCs/>
        </w:rPr>
        <w:t>Esta enunciación hace aparecer</w:t>
      </w:r>
      <w:r w:rsidR="00C5785E" w:rsidRPr="00690776">
        <w:rPr>
          <w:bCs/>
        </w:rPr>
        <w:t xml:space="preserve"> </w:t>
      </w:r>
      <w:r w:rsidR="00624461" w:rsidRPr="00690776">
        <w:t>el lugar común</w:t>
      </w:r>
      <w:r w:rsidR="00C5785E" w:rsidRPr="00690776">
        <w:t>, como dice</w:t>
      </w:r>
      <w:r w:rsidR="00624461" w:rsidRPr="00690776">
        <w:t xml:space="preserve"> Meyer, como una respuesta resolutoria que permite zanjar una alternativa o una pluralidad abierta de soluciones posibles, una cuestión ya resuelta y presentada como tal (Meyer 1993: 69). </w:t>
      </w:r>
    </w:p>
    <w:p w14:paraId="343ABE2F" w14:textId="77777777" w:rsidR="004A4E07" w:rsidRPr="00690776" w:rsidRDefault="004A4E07" w:rsidP="00D13283">
      <w:r w:rsidRPr="00690776">
        <w:t xml:space="preserve">Como en </w:t>
      </w:r>
      <w:r w:rsidR="00D1577D" w:rsidRPr="00690776">
        <w:t xml:space="preserve">el caso </w:t>
      </w:r>
      <w:r w:rsidR="004A2217" w:rsidRPr="00690776">
        <w:t>del soldado</w:t>
      </w:r>
      <w:r w:rsidRPr="00690776">
        <w:t>, vemos aquí que la diversidad de universos de sentido implicados aparece no sólo en el nivel de los enunciados, sino también en el de los términos, los objetos o asuntos mencionados</w:t>
      </w:r>
      <w:r w:rsidR="004A2217" w:rsidRPr="00690776">
        <w:t>, aquí los inmigrantes</w:t>
      </w:r>
      <w:r w:rsidRPr="00690776">
        <w:t>. E</w:t>
      </w:r>
      <w:r w:rsidR="00294F0E" w:rsidRPr="00690776">
        <w:t xml:space="preserve">s </w:t>
      </w:r>
      <w:r w:rsidR="00CB4776" w:rsidRPr="00690776">
        <w:t>conocido</w:t>
      </w:r>
      <w:r w:rsidR="00294F0E" w:rsidRPr="00690776">
        <w:t xml:space="preserve"> el ejemplo de “ballena” de E</w:t>
      </w:r>
      <w:r w:rsidRPr="00690776">
        <w:t>co</w:t>
      </w:r>
      <w:r w:rsidR="00294F0E" w:rsidRPr="00690776">
        <w:t>, quien</w:t>
      </w:r>
      <w:r w:rsidRPr="00690776">
        <w:t xml:space="preserve"> señala que Melville quería jugar en </w:t>
      </w:r>
      <w:r w:rsidRPr="00690776">
        <w:rPr>
          <w:i/>
        </w:rPr>
        <w:t>Moby Dick</w:t>
      </w:r>
      <w:r w:rsidRPr="00690776">
        <w:t xml:space="preserve"> con la naturaleza doble de la ballena, </w:t>
      </w:r>
      <w:r w:rsidR="00127A0E" w:rsidRPr="00690776">
        <w:t xml:space="preserve">tanto </w:t>
      </w:r>
      <w:r w:rsidRPr="00690776">
        <w:t xml:space="preserve">mamífero estudiado científicamente </w:t>
      </w:r>
      <w:r w:rsidR="00127A0E" w:rsidRPr="00690776">
        <w:t>como</w:t>
      </w:r>
      <w:r w:rsidRPr="00690776">
        <w:t xml:space="preserve"> pez fabuloso y diabólico (</w:t>
      </w:r>
      <w:r w:rsidR="00D13283" w:rsidRPr="00690776">
        <w:t>1975/2000:</w:t>
      </w:r>
      <w:r w:rsidRPr="00690776">
        <w:t xml:space="preserve"> 180</w:t>
      </w:r>
      <w:r w:rsidR="00CB4776" w:rsidRPr="00690776">
        <w:t>. La</w:t>
      </w:r>
      <w:r w:rsidRPr="00690776">
        <w:t xml:space="preserve"> diversidad de sistemas de </w:t>
      </w:r>
      <w:r w:rsidR="00CA0472" w:rsidRPr="00690776">
        <w:t>significación</w:t>
      </w:r>
      <w:r w:rsidR="00294F0E" w:rsidRPr="00690776">
        <w:t xml:space="preserve"> </w:t>
      </w:r>
      <w:r w:rsidR="00D1577D" w:rsidRPr="00690776">
        <w:t>y de sustancias expresivas que convergen en el sentido de</w:t>
      </w:r>
      <w:r w:rsidR="00B9605A" w:rsidRPr="00690776">
        <w:t xml:space="preserve"> </w:t>
      </w:r>
      <w:r w:rsidR="004A2217" w:rsidRPr="00690776">
        <w:t>cada unidad</w:t>
      </w:r>
      <w:r w:rsidR="00B9605A" w:rsidRPr="00690776">
        <w:t xml:space="preserve"> conduce a Eco a sustituir una semántica tipo diccionario por otra</w:t>
      </w:r>
      <w:r w:rsidR="00294F0E" w:rsidRPr="00690776">
        <w:t xml:space="preserve"> </w:t>
      </w:r>
      <w:r w:rsidR="00B9605A" w:rsidRPr="00690776">
        <w:t xml:space="preserve">tipo </w:t>
      </w:r>
      <w:r w:rsidR="00CB4776" w:rsidRPr="00690776">
        <w:t>“</w:t>
      </w:r>
      <w:r w:rsidR="00B9605A" w:rsidRPr="00690776">
        <w:t>enciclopedia</w:t>
      </w:r>
      <w:r w:rsidR="00CB4776" w:rsidRPr="00690776">
        <w:t>”)</w:t>
      </w:r>
      <w:r w:rsidR="00B9605A" w:rsidRPr="00690776">
        <w:t xml:space="preserve">. Tal diversidad </w:t>
      </w:r>
      <w:r w:rsidRPr="00690776">
        <w:t>es también aplicada a los objetos discursivos por Meyer, entendiéndola como polemicidad inherente al sentido del objeto. Para Meyer, realismo e idealismo sufren ambos de una denegación del cuestionamiento, que es fundamental en la determinación de los objetos. Éstos no se dan ya resueltos. Ningún objeto es dado como tal (¿por quién?), diga lo que diga el empirismo (Meyer 1993: 49). Los términos utilizados son, en el fondo, preguntas que no se plantean (1993: 87).</w:t>
      </w:r>
      <w:r w:rsidR="00200B10" w:rsidRPr="00690776">
        <w:t xml:space="preserve"> No se plantean desde el interior de la visión del mundo para l</w:t>
      </w:r>
      <w:r w:rsidR="00F82829" w:rsidRPr="00690776">
        <w:t>a cual esos términos son obvios. El</w:t>
      </w:r>
      <w:r w:rsidR="00200B10" w:rsidRPr="00690776">
        <w:t xml:space="preserve"> análisis semiótico</w:t>
      </w:r>
      <w:r w:rsidR="00F82829" w:rsidRPr="00690776">
        <w:t>, además de comprender esta visión interior,</w:t>
      </w:r>
      <w:r w:rsidR="00200B10" w:rsidRPr="00690776">
        <w:t xml:space="preserve"> debe </w:t>
      </w:r>
      <w:r w:rsidR="00F82829" w:rsidRPr="00690776">
        <w:t>distanciarse</w:t>
      </w:r>
      <w:r w:rsidR="00200B10" w:rsidRPr="00690776">
        <w:t xml:space="preserve"> de tal sistema para </w:t>
      </w:r>
      <w:r w:rsidR="00D13283" w:rsidRPr="00690776">
        <w:t>captar</w:t>
      </w:r>
      <w:r w:rsidR="00200B10" w:rsidRPr="00690776">
        <w:t xml:space="preserve"> su </w:t>
      </w:r>
      <w:r w:rsidR="00D13283" w:rsidRPr="00690776">
        <w:t xml:space="preserve">carácter </w:t>
      </w:r>
      <w:r w:rsidR="00691B7B" w:rsidRPr="00690776">
        <w:t xml:space="preserve">potencialmente </w:t>
      </w:r>
      <w:r w:rsidR="00D13283" w:rsidRPr="00690776">
        <w:t>polémico</w:t>
      </w:r>
      <w:r w:rsidR="00200B10" w:rsidRPr="00690776">
        <w:t>.</w:t>
      </w:r>
    </w:p>
    <w:p w14:paraId="4C9EDEC6" w14:textId="77777777" w:rsidR="00B7097E" w:rsidRPr="00690776" w:rsidRDefault="004A4E07" w:rsidP="006B5ACE">
      <w:r w:rsidRPr="00690776">
        <w:t xml:space="preserve">En este punto se da una interesante confluencia. </w:t>
      </w:r>
      <w:r w:rsidRPr="00690776">
        <w:rPr>
          <w:lang w:val="es-ES_tradnl"/>
        </w:rPr>
        <w:t>Todo enunciado</w:t>
      </w:r>
      <w:r w:rsidRPr="00690776">
        <w:t xml:space="preserve">, decía Bajtin (1989), </w:t>
      </w:r>
      <w:r w:rsidRPr="00690776">
        <w:rPr>
          <w:lang w:val="es-ES_tradnl"/>
        </w:rPr>
        <w:t xml:space="preserve"> encuentra el objeto al que apunta impregnado de ideas, valoraciones, puntos de vista y acentos ajenos, los de las palabras ya dichas sobre él,</w:t>
      </w:r>
      <w:r w:rsidRPr="00690776">
        <w:t xml:space="preserve"> y no es posible nombrar un objeto sin pronunciarse, por acción o por omisión, sobre esos puntos vista. </w:t>
      </w:r>
      <w:r w:rsidR="00846C32" w:rsidRPr="00690776">
        <w:t>A</w:t>
      </w:r>
      <w:r w:rsidR="00B9605A" w:rsidRPr="00690776">
        <w:t>sí mismo</w:t>
      </w:r>
      <w:r w:rsidRPr="00690776">
        <w:t xml:space="preserve"> Deleuze, en una reflexión que abarca tanto las palabras como las imágenes</w:t>
      </w:r>
      <w:r w:rsidR="00846C32" w:rsidRPr="00690776">
        <w:t>, afirma que</w:t>
      </w:r>
      <w:r w:rsidRPr="00690776">
        <w:t xml:space="preserve"> el pintor o el </w:t>
      </w:r>
      <w:r w:rsidR="00B9605A" w:rsidRPr="00690776">
        <w:t>escritor</w:t>
      </w:r>
      <w:r w:rsidRPr="00690776">
        <w:t xml:space="preserve"> siempre se encuentra</w:t>
      </w:r>
      <w:r w:rsidR="00CB4776" w:rsidRPr="00690776">
        <w:t>n</w:t>
      </w:r>
      <w:r w:rsidRPr="00690776">
        <w:t xml:space="preserve"> con el cliché. No hay tela o página en blanco, ésta está siempre llena, ¿de qué? De cliché, de ideas completamente hechas (Deleuze 2007: 54</w:t>
      </w:r>
      <w:r w:rsidR="006B5ACE" w:rsidRPr="00690776">
        <w:t>, 76</w:t>
      </w:r>
      <w:r w:rsidRPr="00690776">
        <w:t>). Se entiende así que para cada autor y cada hablante, referirse a un objeto implica tomar una posición frente al lugar común, las categorías y sistemas desde las que ha sido concebido y tratado tal objeto. Por ello cada producción significativa remite a un pasado, a lo ya dicho y previsto, aunque no necesariamente lo reitera</w:t>
      </w:r>
      <w:r w:rsidR="00846C32" w:rsidRPr="00690776">
        <w:t>, c</w:t>
      </w:r>
      <w:r w:rsidRPr="00690776">
        <w:t xml:space="preserve">omo </w:t>
      </w:r>
      <w:r w:rsidR="006B5ACE" w:rsidRPr="00690776">
        <w:t>sugiere</w:t>
      </w:r>
      <w:r w:rsidR="00846C32" w:rsidRPr="00690776">
        <w:t xml:space="preserve"> el concepto de texto de</w:t>
      </w:r>
      <w:r w:rsidRPr="00690776">
        <w:t xml:space="preserve"> Eco. </w:t>
      </w:r>
      <w:r w:rsidR="00B9605A" w:rsidRPr="00690776">
        <w:t>Si bien</w:t>
      </w:r>
      <w:r w:rsidRPr="00690776">
        <w:t xml:space="preserve"> el artista moderno en </w:t>
      </w:r>
      <w:r w:rsidR="00B7097E" w:rsidRPr="00690776">
        <w:t xml:space="preserve">el </w:t>
      </w:r>
      <w:r w:rsidRPr="00690776">
        <w:t>que piensa Deleuze, de Miguel Ángel a Cézanne o Bacon, lucha constantemente por destruir las convenciones y los clichés, el pasado con el que inevitablemente se encuentra en su enciclopedia y en la de sus receptores</w:t>
      </w:r>
      <w:r w:rsidR="00B9605A" w:rsidRPr="00690776">
        <w:t>,</w:t>
      </w:r>
      <w:r w:rsidRPr="00690776">
        <w:t xml:space="preserve"> los sujetos pre y postmodernos </w:t>
      </w:r>
      <w:r w:rsidR="002150B6" w:rsidRPr="00690776">
        <w:t>tienden a</w:t>
      </w:r>
      <w:r w:rsidRPr="00690776">
        <w:t xml:space="preserve"> tener una actitud diferente frente a la tradición. </w:t>
      </w:r>
    </w:p>
    <w:p w14:paraId="05D539A2" w14:textId="77777777" w:rsidR="004A4E07" w:rsidRPr="00690776" w:rsidRDefault="005457B9" w:rsidP="004A2217">
      <w:r w:rsidRPr="00690776">
        <w:t>E</w:t>
      </w:r>
      <w:r w:rsidR="004A4E07" w:rsidRPr="00690776">
        <w:t>ste eje de análisis nos permite entender cualquier intercambio comunicativo como el momento en que se actualizan los clichés, los sistemas de sentido y los guiones comunes, virtualm</w:t>
      </w:r>
      <w:r w:rsidR="002150B6" w:rsidRPr="00690776">
        <w:t>ente disponibles para una colectividad de sentido</w:t>
      </w:r>
      <w:r w:rsidR="004A4E07" w:rsidRPr="00690776">
        <w:t xml:space="preserve">. </w:t>
      </w:r>
      <w:r w:rsidR="00A74261" w:rsidRPr="00690776">
        <w:t>Pero es importante observar</w:t>
      </w:r>
      <w:r w:rsidR="004A4E07" w:rsidRPr="00690776">
        <w:t xml:space="preserve"> que </w:t>
      </w:r>
      <w:r w:rsidR="004A4E07" w:rsidRPr="00690776">
        <w:lastRenderedPageBreak/>
        <w:t xml:space="preserve">los interlocutores al actualizar esos fragmentos de enciclopedia, también adoptan una actitud hacia ellos, los orientan y resignifican, de modo que el acervo social del que nos servimos para dar sentido desde lo más personal a lo más público resulta reorganizado y </w:t>
      </w:r>
      <w:r w:rsidR="004A2217" w:rsidRPr="00690776">
        <w:t>marcado valorativamente</w:t>
      </w:r>
      <w:r w:rsidR="004A4E07" w:rsidRPr="00690776">
        <w:t xml:space="preserve"> en un nuevo modo.</w:t>
      </w:r>
    </w:p>
    <w:p w14:paraId="6010BE50" w14:textId="77777777" w:rsidR="001134C5" w:rsidRPr="00690776" w:rsidRDefault="00B9605A" w:rsidP="00D13283">
      <w:r w:rsidRPr="00690776">
        <w:t xml:space="preserve">Acerca de la actitud hacia los sistemas de sentido </w:t>
      </w:r>
      <w:r w:rsidR="00846C32" w:rsidRPr="00690776">
        <w:t>es necesario</w:t>
      </w:r>
      <w:r w:rsidRPr="00690776">
        <w:t xml:space="preserve"> mencionar a Bajtin, cuya influencia ha penetrado profunda</w:t>
      </w:r>
      <w:r w:rsidR="003B255F" w:rsidRPr="00690776">
        <w:t>mente en las ciencias sociales -</w:t>
      </w:r>
      <w:r w:rsidRPr="00690776">
        <w:t xml:space="preserve">mucho </w:t>
      </w:r>
      <w:r w:rsidR="00B445AD" w:rsidRPr="00690776">
        <w:t>más que en la semiótica europea</w:t>
      </w:r>
      <w:r w:rsidR="003B255F" w:rsidRPr="00690776">
        <w:t>-</w:t>
      </w:r>
      <w:r w:rsidR="00B445AD" w:rsidRPr="00690776">
        <w:t>, introduciendo u</w:t>
      </w:r>
      <w:r w:rsidR="001134C5" w:rsidRPr="00690776">
        <w:t xml:space="preserve">na visión estratégica y polémica, o “dialógica”, de la interacción entre sujetos y sistemas semióticos </w:t>
      </w:r>
      <w:r w:rsidR="00B445AD" w:rsidRPr="00690776">
        <w:t>en la que son centrales</w:t>
      </w:r>
      <w:r w:rsidR="001134C5" w:rsidRPr="00690776">
        <w:t xml:space="preserve"> los conceptos de dialogismo e hibridación. Estos conceptos fascinaron en un principio a Kristeva, Todorov, Barthes, pero finalmente la semiótica europea retuvo únicamente de esta perspectiva el concepto de intertextualidad, que le permitía permanecer en el terreno de los textos y así salvar lo que entendía como su plano de inmanencia (ver Fontanille 2015, Paolucci, 2010, Fabbri </w:t>
      </w:r>
      <w:r w:rsidR="00D13283" w:rsidRPr="00690776">
        <w:t>y</w:t>
      </w:r>
      <w:r w:rsidR="001134C5" w:rsidRPr="00690776">
        <w:t xml:space="preserve"> Marrone 200</w:t>
      </w:r>
      <w:r w:rsidR="00D13283" w:rsidRPr="00690776">
        <w:t>1</w:t>
      </w:r>
      <w:r w:rsidR="001134C5" w:rsidRPr="00690776">
        <w:t>: 8-9). En las ciencias sociales observar los fenómenos de dialogismo e hibridación ha permitido a los estudiosos incorporar y desarrollar el estudio de las pautas culturales y los estereotipos</w:t>
      </w:r>
      <w:r w:rsidR="00B445AD" w:rsidRPr="00690776">
        <w:t xml:space="preserve"> (en cualesquiera sustancias expresivas)</w:t>
      </w:r>
      <w:r w:rsidR="001134C5" w:rsidRPr="00690776">
        <w:t xml:space="preserve"> para asociar</w:t>
      </w:r>
      <w:r w:rsidR="00A74261" w:rsidRPr="00690776">
        <w:t xml:space="preserve"> las estrategias de los sujetos con</w:t>
      </w:r>
      <w:r w:rsidR="001134C5" w:rsidRPr="00690776">
        <w:t xml:space="preserve"> las </w:t>
      </w:r>
      <w:r w:rsidR="00A74261" w:rsidRPr="00690776">
        <w:t xml:space="preserve">cuestiones relativas al sentido, </w:t>
      </w:r>
      <w:r w:rsidR="001134C5" w:rsidRPr="00690776">
        <w:t xml:space="preserve">las divisiones culturales y sociales, las relaciones de </w:t>
      </w:r>
      <w:r w:rsidR="001134C5" w:rsidRPr="008728AF">
        <w:t>poder</w:t>
      </w:r>
      <w:r w:rsidR="001134C5" w:rsidRPr="00690776">
        <w:t xml:space="preserve"> y las tensiones y cambios en estas dimensiones</w:t>
      </w:r>
      <w:r w:rsidR="00B445AD" w:rsidRPr="00690776">
        <w:t>.</w:t>
      </w:r>
      <w:r w:rsidR="001134C5" w:rsidRPr="00690776">
        <w:t xml:space="preserve"> </w:t>
      </w:r>
    </w:p>
    <w:p w14:paraId="7D61E152" w14:textId="77777777" w:rsidR="001134C5" w:rsidRPr="00690776" w:rsidRDefault="001134C5" w:rsidP="00A14284">
      <w:r w:rsidRPr="00690776">
        <w:t xml:space="preserve">El concepto de comunicación incluye en Bajtin los de aproximación y distancia, pues entre los interlocutores se da siempre una distancia, la diferencia de sistemas semióticos –“lenguas” para este autor- que obliga a cada interlocutor a hacer una aproximación a los sistemas del otro (ya que la comunicación siempre se </w:t>
      </w:r>
      <w:r w:rsidR="00B445AD" w:rsidRPr="00690776">
        <w:t>produce</w:t>
      </w:r>
      <w:r w:rsidRPr="00690776">
        <w:t xml:space="preserve"> “en el terren</w:t>
      </w:r>
      <w:r w:rsidR="00A14284" w:rsidRPr="00690776">
        <w:t>o del receptor”, dice Bajtin). Las de a</w:t>
      </w:r>
      <w:r w:rsidRPr="00690776">
        <w:t>proximación y distancia se articulan con las nociones de apropiación, identificación y extrañamiento. Para Bajtin las lenguas implican visiones del mundo distintas y precisamente por ello dialogan (al contrario del relativismo, que entiende que diferentes visiones del mundo están abocadas a no comprenderse). Como visiones del mundo con amplias zonas de contacto y superposición entre ellas, dialogan en el plano interpersonal e intrapersonal, en la conversación y en la conciencia</w:t>
      </w:r>
      <w:r w:rsidR="00A74261" w:rsidRPr="00690776">
        <w:t xml:space="preserve">. </w:t>
      </w:r>
      <w:r w:rsidRPr="00690776">
        <w:t xml:space="preserve">Cada </w:t>
      </w:r>
      <w:r w:rsidR="00B445AD" w:rsidRPr="00690776">
        <w:t xml:space="preserve">sujeto y cada </w:t>
      </w:r>
      <w:r w:rsidRPr="00690776">
        <w:t>en</w:t>
      </w:r>
      <w:r w:rsidR="00B04452" w:rsidRPr="00690776">
        <w:t xml:space="preserve">unciado está poblado de voces y visiones </w:t>
      </w:r>
      <w:r w:rsidRPr="00690776">
        <w:t>ajenas. El enunciador se apropia de palabras y perspectivas ajenas -se identifica con algunas hasta el punto de tenerlas por propias y olvi</w:t>
      </w:r>
      <w:r w:rsidR="00846C32" w:rsidRPr="00690776">
        <w:t>dar que las ha tomado de otros-</w:t>
      </w:r>
      <w:r w:rsidRPr="00690776">
        <w:t xml:space="preserve"> y se distancia de ciertas otras “en una gradación infinita de niveles de extrañamiento y apropiación”.</w:t>
      </w:r>
      <w:r w:rsidR="00054EF2" w:rsidRPr="00690776">
        <w:t xml:space="preserve"> </w:t>
      </w:r>
      <w:r w:rsidR="00A14284" w:rsidRPr="00690776">
        <w:t>El</w:t>
      </w:r>
      <w:r w:rsidR="00054EF2" w:rsidRPr="00690776">
        <w:t xml:space="preserve"> análisis trata precisamente de indagar</w:t>
      </w:r>
      <w:r w:rsidR="00CB4776" w:rsidRPr="00690776">
        <w:t>,</w:t>
      </w:r>
      <w:r w:rsidR="00576138" w:rsidRPr="00690776">
        <w:t xml:space="preserve"> más que la presencia de </w:t>
      </w:r>
      <w:r w:rsidR="00A74261" w:rsidRPr="00690776">
        <w:t>sistemas</w:t>
      </w:r>
      <w:r w:rsidR="00576138" w:rsidRPr="00690776">
        <w:t xml:space="preserve"> caracterizados socialmente, la actitud hacia ellos de la enunciación que los incorpora </w:t>
      </w:r>
      <w:r w:rsidR="00A74261" w:rsidRPr="00690776">
        <w:t>–atribuyéndoles un valor</w:t>
      </w:r>
      <w:r w:rsidR="00576138" w:rsidRPr="00690776">
        <w:t xml:space="preserve"> de autoridad, ridiculizándolos en parodias que los cosifican o distanciándose en algún aspecto pero valorizándolos en otros-. </w:t>
      </w:r>
      <w:r w:rsidR="00200B10" w:rsidRPr="00690776">
        <w:t xml:space="preserve">En el medio de esta dimensión </w:t>
      </w:r>
      <w:r w:rsidR="00A74261" w:rsidRPr="00690776">
        <w:t>dialógica de</w:t>
      </w:r>
      <w:r w:rsidRPr="00690776">
        <w:t xml:space="preserve"> los sistemas de sentido, las “lenguas” y las per</w:t>
      </w:r>
      <w:r w:rsidR="00576138" w:rsidRPr="00690776">
        <w:t xml:space="preserve">spectivas sociales, </w:t>
      </w:r>
      <w:r w:rsidR="00A74261" w:rsidRPr="00690776">
        <w:t>es posible construir</w:t>
      </w:r>
      <w:r w:rsidR="00576138" w:rsidRPr="00690776">
        <w:t xml:space="preserve"> </w:t>
      </w:r>
      <w:r w:rsidRPr="00690776">
        <w:t xml:space="preserve">las más fluidas posiciones de subjetividad intermedias. </w:t>
      </w:r>
    </w:p>
    <w:p w14:paraId="2F0DF3F6" w14:textId="77777777" w:rsidR="001134C5" w:rsidRPr="00690776" w:rsidRDefault="005457B9" w:rsidP="00D13283">
      <w:pPr>
        <w:rPr>
          <w:lang w:val="es-ES_tradnl"/>
        </w:rPr>
      </w:pPr>
      <w:r w:rsidRPr="00690776">
        <w:rPr>
          <w:lang w:val="es-ES_tradnl"/>
        </w:rPr>
        <w:t>La noción</w:t>
      </w:r>
      <w:r w:rsidR="001134C5" w:rsidRPr="00690776">
        <w:rPr>
          <w:lang w:val="es-ES_tradnl"/>
        </w:rPr>
        <w:t xml:space="preserve"> de lo híbrido como un proceso siempre abierto, según el antropólogo J. J. Carvalho,  “fue </w:t>
      </w:r>
      <w:r w:rsidR="00723C32" w:rsidRPr="00690776">
        <w:rPr>
          <w:lang w:val="es-ES_tradnl"/>
        </w:rPr>
        <w:t>introducida</w:t>
      </w:r>
      <w:r w:rsidR="001134C5" w:rsidRPr="00690776">
        <w:rPr>
          <w:lang w:val="es-ES_tradnl"/>
        </w:rPr>
        <w:t xml:space="preserve"> en las Humanidades y en las Ciencias Sociales por su potencial de positividad frente a un tipo de discurso binario, que presentaba las diferencias de poder como insuperables y fijas, sin posibilidad de cuestionamiento”</w:t>
      </w:r>
      <w:r w:rsidR="00B31FF1" w:rsidRPr="00690776">
        <w:rPr>
          <w:lang w:val="es-ES_tradnl"/>
        </w:rPr>
        <w:t xml:space="preserve"> (</w:t>
      </w:r>
      <w:r w:rsidR="00D13283" w:rsidRPr="00690776">
        <w:rPr>
          <w:lang w:val="es-ES_tradnl"/>
        </w:rPr>
        <w:t>2007</w:t>
      </w:r>
      <w:r w:rsidR="00075B48" w:rsidRPr="00690776">
        <w:rPr>
          <w:lang w:val="es-ES_tradnl"/>
        </w:rPr>
        <w:t>: 176</w:t>
      </w:r>
      <w:r w:rsidR="00B31FF1" w:rsidRPr="00690776">
        <w:rPr>
          <w:lang w:val="es-ES_tradnl"/>
        </w:rPr>
        <w:t>)</w:t>
      </w:r>
      <w:r w:rsidR="001134C5" w:rsidRPr="00690776">
        <w:rPr>
          <w:lang w:val="es-ES_tradnl"/>
        </w:rPr>
        <w:t>, como hacen los discursos económicos o políticos sobre las estructuras de dominación.   Desde la significación bajtiniana de</w:t>
      </w:r>
      <w:r w:rsidR="00846C32" w:rsidRPr="00690776">
        <w:rPr>
          <w:lang w:val="es-ES_tradnl"/>
        </w:rPr>
        <w:t>l</w:t>
      </w:r>
      <w:r w:rsidR="001134C5" w:rsidRPr="00690776">
        <w:rPr>
          <w:lang w:val="es-ES_tradnl"/>
        </w:rPr>
        <w:t xml:space="preserve"> hibridismo, señala, “el discurso del sujeto, incluso aunque se halle sometido a una estructura de opresión y dominación, nunca está controlado completamente por el opresor. La </w:t>
      </w:r>
      <w:r w:rsidR="001134C5" w:rsidRPr="00690776">
        <w:rPr>
          <w:lang w:val="es-ES_tradnl"/>
        </w:rPr>
        <w:lastRenderedPageBreak/>
        <w:t>simple actividad de obedecer de mala gana a las reglas impuestas ya provoca de por sí un cierto grado de resistencia y desplazamiento significativo en el sujeto oprimido</w:t>
      </w:r>
      <w:r w:rsidR="00A74261" w:rsidRPr="00690776">
        <w:rPr>
          <w:lang w:val="es-ES_tradnl"/>
        </w:rPr>
        <w:t>”</w:t>
      </w:r>
      <w:r w:rsidR="00B31FF1" w:rsidRPr="00690776">
        <w:rPr>
          <w:lang w:val="es-ES_tradnl"/>
        </w:rPr>
        <w:t xml:space="preserve"> </w:t>
      </w:r>
      <w:r w:rsidR="00B445AD" w:rsidRPr="00690776">
        <w:rPr>
          <w:lang w:val="es-ES_tradnl"/>
        </w:rPr>
        <w:t>(lo que no puede dejar de recordarnos la astucia de Parain)</w:t>
      </w:r>
      <w:r w:rsidR="001134C5" w:rsidRPr="00690776">
        <w:rPr>
          <w:lang w:val="es-ES_tradnl"/>
        </w:rPr>
        <w:t xml:space="preserve">. Desde </w:t>
      </w:r>
      <w:r w:rsidR="001134C5" w:rsidRPr="00690776">
        <w:rPr>
          <w:i/>
          <w:lang w:val="es-ES_tradnl"/>
        </w:rPr>
        <w:t>Culturas híbridas</w:t>
      </w:r>
      <w:r w:rsidR="001134C5" w:rsidRPr="00690776">
        <w:rPr>
          <w:lang w:val="es-ES_tradnl"/>
        </w:rPr>
        <w:t xml:space="preserve"> de García Canclini</w:t>
      </w:r>
      <w:r w:rsidR="00265653">
        <w:rPr>
          <w:lang w:val="es-ES_tradnl"/>
        </w:rPr>
        <w:t xml:space="preserve"> (1990)</w:t>
      </w:r>
      <w:r w:rsidR="001134C5" w:rsidRPr="00690776">
        <w:rPr>
          <w:lang w:val="es-ES_tradnl"/>
        </w:rPr>
        <w:t xml:space="preserve">, </w:t>
      </w:r>
      <w:r w:rsidR="00723C32" w:rsidRPr="00690776">
        <w:rPr>
          <w:lang w:val="es-ES_tradnl"/>
        </w:rPr>
        <w:t xml:space="preserve">o </w:t>
      </w:r>
      <w:r w:rsidR="002760D1" w:rsidRPr="00690776">
        <w:rPr>
          <w:i/>
          <w:lang w:val="es-ES_tradnl"/>
        </w:rPr>
        <w:t>La pensée mé</w:t>
      </w:r>
      <w:r w:rsidR="00723C32" w:rsidRPr="00690776">
        <w:rPr>
          <w:i/>
          <w:lang w:val="es-ES_tradnl"/>
        </w:rPr>
        <w:t>tisse</w:t>
      </w:r>
      <w:r w:rsidR="002760D1" w:rsidRPr="00690776">
        <w:rPr>
          <w:lang w:val="es-ES_tradnl"/>
        </w:rPr>
        <w:t xml:space="preserve"> de Gruzinski</w:t>
      </w:r>
      <w:r w:rsidR="00265653">
        <w:rPr>
          <w:lang w:val="es-ES_tradnl"/>
        </w:rPr>
        <w:t xml:space="preserve"> (1999)</w:t>
      </w:r>
      <w:r w:rsidR="00761E86" w:rsidRPr="00690776">
        <w:rPr>
          <w:lang w:val="es-ES_tradnl"/>
        </w:rPr>
        <w:t xml:space="preserve">, </w:t>
      </w:r>
      <w:r w:rsidR="001134C5" w:rsidRPr="00690776">
        <w:rPr>
          <w:lang w:val="es-ES_tradnl"/>
        </w:rPr>
        <w:t xml:space="preserve">esta tradición de análisis, aplicada a textos visuales y verbales, objetos, prácticas, rituales, </w:t>
      </w:r>
      <w:r w:rsidR="00846C32" w:rsidRPr="00690776">
        <w:rPr>
          <w:lang w:val="es-ES_tradnl"/>
        </w:rPr>
        <w:t>ha permitido</w:t>
      </w:r>
      <w:r w:rsidR="002150B6" w:rsidRPr="00690776">
        <w:rPr>
          <w:lang w:val="es-ES_tradnl"/>
        </w:rPr>
        <w:t xml:space="preserve"> observar</w:t>
      </w:r>
      <w:r w:rsidR="001134C5" w:rsidRPr="00690776">
        <w:rPr>
          <w:lang w:val="es-ES_tradnl"/>
        </w:rPr>
        <w:t xml:space="preserve"> fenómenos de apropiación, desvío, cuestionamiento de las reglas,</w:t>
      </w:r>
      <w:r w:rsidR="003B255F" w:rsidRPr="00690776">
        <w:rPr>
          <w:lang w:val="es-ES_tradnl"/>
        </w:rPr>
        <w:t xml:space="preserve"> y con ello,</w:t>
      </w:r>
      <w:r w:rsidR="001134C5" w:rsidRPr="00690776">
        <w:rPr>
          <w:lang w:val="es-ES_tradnl"/>
        </w:rPr>
        <w:t xml:space="preserve"> los modos en que se han abierto camino sistemas expresivos</w:t>
      </w:r>
      <w:r w:rsidR="0061427B" w:rsidRPr="00690776">
        <w:rPr>
          <w:lang w:val="es-ES_tradnl"/>
        </w:rPr>
        <w:t xml:space="preserve"> y enciclopedias parciales (de etnia, clase, generación</w:t>
      </w:r>
      <w:r w:rsidR="00723C32" w:rsidRPr="00690776">
        <w:rPr>
          <w:lang w:val="es-ES_tradnl"/>
        </w:rPr>
        <w:t>, ideología</w:t>
      </w:r>
      <w:r w:rsidR="0061427B" w:rsidRPr="00690776">
        <w:rPr>
          <w:lang w:val="es-ES_tradnl"/>
        </w:rPr>
        <w:t xml:space="preserve">), ajenas </w:t>
      </w:r>
      <w:r w:rsidR="001134C5" w:rsidRPr="00690776">
        <w:rPr>
          <w:lang w:val="es-ES_tradnl"/>
        </w:rPr>
        <w:t>a las previs</w:t>
      </w:r>
      <w:r w:rsidR="002150B6" w:rsidRPr="00690776">
        <w:rPr>
          <w:lang w:val="es-ES_tradnl"/>
        </w:rPr>
        <w:t>t</w:t>
      </w:r>
      <w:r w:rsidR="001413A0" w:rsidRPr="00690776">
        <w:rPr>
          <w:lang w:val="es-ES_tradnl"/>
        </w:rPr>
        <w:t xml:space="preserve">as en los sistemas dominantes. </w:t>
      </w:r>
      <w:r w:rsidR="00723C32" w:rsidRPr="00690776">
        <w:rPr>
          <w:lang w:val="es-ES_tradnl"/>
        </w:rPr>
        <w:t xml:space="preserve">Ha mostrado </w:t>
      </w:r>
      <w:r w:rsidR="00F82829" w:rsidRPr="00690776">
        <w:rPr>
          <w:lang w:val="es-ES_tradnl"/>
        </w:rPr>
        <w:t xml:space="preserve">así </w:t>
      </w:r>
      <w:r w:rsidR="002150B6" w:rsidRPr="00690776">
        <w:rPr>
          <w:lang w:val="es-ES_tradnl"/>
        </w:rPr>
        <w:t>modo</w:t>
      </w:r>
      <w:r w:rsidR="00723C32" w:rsidRPr="00690776">
        <w:rPr>
          <w:lang w:val="es-ES_tradnl"/>
        </w:rPr>
        <w:t>s en que</w:t>
      </w:r>
      <w:r w:rsidR="001134C5" w:rsidRPr="00690776">
        <w:rPr>
          <w:lang w:val="es-ES_tradnl"/>
        </w:rPr>
        <w:t xml:space="preserve"> </w:t>
      </w:r>
      <w:r w:rsidR="002150B6" w:rsidRPr="00690776">
        <w:rPr>
          <w:lang w:val="es-ES_tradnl"/>
        </w:rPr>
        <w:t>las colectividades y los individuos</w:t>
      </w:r>
      <w:r w:rsidR="001134C5" w:rsidRPr="00690776">
        <w:rPr>
          <w:lang w:val="es-ES_tradnl"/>
        </w:rPr>
        <w:t xml:space="preserve"> han conformado valiosos recursos semióticos </w:t>
      </w:r>
      <w:r w:rsidR="002150B6" w:rsidRPr="00690776">
        <w:rPr>
          <w:lang w:val="es-ES_tradnl"/>
        </w:rPr>
        <w:t xml:space="preserve">para su participación en la vida social </w:t>
      </w:r>
      <w:r w:rsidR="001134C5" w:rsidRPr="00690776">
        <w:rPr>
          <w:lang w:val="es-ES_tradnl"/>
        </w:rPr>
        <w:t xml:space="preserve">y </w:t>
      </w:r>
      <w:r w:rsidR="00846C32" w:rsidRPr="00690776">
        <w:rPr>
          <w:lang w:val="es-ES_tradnl"/>
        </w:rPr>
        <w:t>para</w:t>
      </w:r>
      <w:r w:rsidR="002150B6" w:rsidRPr="00690776">
        <w:rPr>
          <w:lang w:val="es-ES_tradnl"/>
        </w:rPr>
        <w:t xml:space="preserve"> la</w:t>
      </w:r>
      <w:r w:rsidR="001134C5" w:rsidRPr="00690776">
        <w:rPr>
          <w:lang w:val="es-ES_tradnl"/>
        </w:rPr>
        <w:t xml:space="preserve"> </w:t>
      </w:r>
      <w:r w:rsidR="00CB4776" w:rsidRPr="00690776">
        <w:rPr>
          <w:lang w:val="es-ES_tradnl"/>
        </w:rPr>
        <w:t>construcción</w:t>
      </w:r>
      <w:r w:rsidR="001134C5" w:rsidRPr="00690776">
        <w:rPr>
          <w:lang w:val="es-ES_tradnl"/>
        </w:rPr>
        <w:t xml:space="preserve"> de subjetividades individuales y colectivas.</w:t>
      </w:r>
    </w:p>
    <w:p w14:paraId="4554F0DE" w14:textId="77777777" w:rsidR="00D1577D" w:rsidRPr="0035315F" w:rsidRDefault="00B9605A" w:rsidP="00D1577D">
      <w:pPr>
        <w:rPr>
          <w:i/>
        </w:rPr>
      </w:pPr>
      <w:r w:rsidRPr="0035315F">
        <w:rPr>
          <w:i/>
        </w:rPr>
        <w:t>4</w:t>
      </w:r>
      <w:r w:rsidR="00D1577D" w:rsidRPr="0035315F">
        <w:rPr>
          <w:i/>
        </w:rPr>
        <w:t>. Textos verbovisuales y discursos híbridos</w:t>
      </w:r>
    </w:p>
    <w:p w14:paraId="66A95FF2" w14:textId="77777777" w:rsidR="001B057E" w:rsidRPr="00690776" w:rsidRDefault="001B057E" w:rsidP="00F82829">
      <w:r w:rsidRPr="00690776">
        <w:t>Cada texto es el terreno y el resultado de la interacción entre los su</w:t>
      </w:r>
      <w:r w:rsidR="003B255F" w:rsidRPr="00690776">
        <w:t xml:space="preserve">jetos y los sistemas semióticos, </w:t>
      </w:r>
      <w:r w:rsidRPr="00690776">
        <w:t xml:space="preserve">lo que pretende captar el concepto de </w:t>
      </w:r>
      <w:r w:rsidRPr="00690776">
        <w:rPr>
          <w:bCs/>
        </w:rPr>
        <w:t>enunciación que</w:t>
      </w:r>
      <w:r w:rsidRPr="00690776">
        <w:t xml:space="preserve">, atendiendo ahora al texto visivo, se orienta a comprender cómo éste “inscribe en su interior la estructura receptiva del espectador” (Corrain y Fabbri, 2013). El análisis de los textos verbovisuales </w:t>
      </w:r>
      <w:r w:rsidR="00E47DC8" w:rsidRPr="00690776">
        <w:t>que propongo</w:t>
      </w:r>
      <w:r w:rsidRPr="00690776">
        <w:t xml:space="preserve"> </w:t>
      </w:r>
      <w:r w:rsidR="00257786" w:rsidRPr="00690776">
        <w:t>trata</w:t>
      </w:r>
      <w:r w:rsidRPr="00690776">
        <w:t xml:space="preserve"> de iluminar la </w:t>
      </w:r>
      <w:r w:rsidRPr="00690776">
        <w:rPr>
          <w:bCs/>
        </w:rPr>
        <w:t>estrategia del enunciador</w:t>
      </w:r>
      <w:r w:rsidRPr="00690776">
        <w:t xml:space="preserve"> que </w:t>
      </w:r>
      <w:r w:rsidRPr="00690776">
        <w:rPr>
          <w:bCs/>
        </w:rPr>
        <w:t>ha de reconocer en su texto los sistemas de sentido</w:t>
      </w:r>
      <w:r w:rsidRPr="00690776">
        <w:t>, valor y afecto de su destinatario previsto, sea para halagarlos, para renovar</w:t>
      </w:r>
      <w:r w:rsidR="00A6082B" w:rsidRPr="00690776">
        <w:t xml:space="preserve">los, desplazarlos o desafiarlos –el “componente conflictual” de la enunciación </w:t>
      </w:r>
      <w:r w:rsidR="00FD6C1D" w:rsidRPr="00690776">
        <w:t>al que se refieren</w:t>
      </w:r>
      <w:r w:rsidR="00A6082B" w:rsidRPr="00690776">
        <w:t xml:space="preserve"> Fabbri y Marrone, 2001-. </w:t>
      </w:r>
      <w:r w:rsidRPr="00690776">
        <w:t xml:space="preserve"> El objetivo es comprender de este modo cómo contribuye cada </w:t>
      </w:r>
      <w:r w:rsidRPr="0035315F">
        <w:t>enunciación a confirmar o cuestionar los sistemas de significación, las enciclopedias parciales</w:t>
      </w:r>
      <w:r w:rsidRPr="00690776">
        <w:t xml:space="preserve">, como una aproximación a la semiótica de las culturas que se interesa por las </w:t>
      </w:r>
      <w:r w:rsidRPr="0035315F">
        <w:t xml:space="preserve">estrategias </w:t>
      </w:r>
      <w:r w:rsidR="00A6082B" w:rsidRPr="0035315F">
        <w:t xml:space="preserve">de </w:t>
      </w:r>
      <w:r w:rsidRPr="0035315F">
        <w:t>memoria</w:t>
      </w:r>
      <w:r w:rsidRPr="00690776">
        <w:t xml:space="preserve"> que ponen en marcha los textos y por su acción sobre el acervo común</w:t>
      </w:r>
      <w:r w:rsidR="00691B7B" w:rsidRPr="00690776">
        <w:t xml:space="preserve"> que forman</w:t>
      </w:r>
      <w:r w:rsidR="00735C87" w:rsidRPr="00690776">
        <w:t xml:space="preserve"> la/s enciclopedia/s.</w:t>
      </w:r>
      <w:r w:rsidRPr="00690776">
        <w:t xml:space="preserve"> </w:t>
      </w:r>
    </w:p>
    <w:p w14:paraId="0AD2A4F4" w14:textId="77777777" w:rsidR="00A14284" w:rsidRPr="00690776" w:rsidRDefault="00E47DC8" w:rsidP="00FD6C1D">
      <w:pPr>
        <w:autoSpaceDE w:val="0"/>
        <w:autoSpaceDN w:val="0"/>
        <w:adjustRightInd w:val="0"/>
        <w:spacing w:after="0" w:line="240" w:lineRule="auto"/>
      </w:pPr>
      <w:r w:rsidRPr="00690776">
        <w:t>Relevante también</w:t>
      </w:r>
      <w:r w:rsidR="001B057E" w:rsidRPr="00690776">
        <w:t xml:space="preserve"> para la semiótica de las culturas es </w:t>
      </w:r>
      <w:r w:rsidRPr="00690776">
        <w:t>comprender si</w:t>
      </w:r>
      <w:r w:rsidR="001B057E" w:rsidRPr="00690776">
        <w:t xml:space="preserve"> todos los sistemas semióticos dialogan y se traducen  igualmente entre sí. Para Lotman, el sentido no se produce en el interior de una semiosfera sin entrar en contacto con lo otro, con la diversidad que desplaza o cuestiona la fijeza y el cierre de los sistemas comunes</w:t>
      </w:r>
      <w:r w:rsidR="002B35FC" w:rsidRPr="00690776">
        <w:t>. Pero</w:t>
      </w:r>
      <w:r w:rsidRPr="00690776">
        <w:t xml:space="preserve"> </w:t>
      </w:r>
      <w:r w:rsidR="001B057E" w:rsidRPr="00690776">
        <w:t xml:space="preserve">a menudo salvar fronteras </w:t>
      </w:r>
      <w:r w:rsidR="00BA1388" w:rsidRPr="00690776">
        <w:t>con lo</w:t>
      </w:r>
      <w:r w:rsidR="002B35FC" w:rsidRPr="00690776">
        <w:t xml:space="preserve"> completamente extraño, por</w:t>
      </w:r>
      <w:r w:rsidR="00BA1388" w:rsidRPr="00690776">
        <w:t xml:space="preserve"> desconocido o despreciado</w:t>
      </w:r>
      <w:r w:rsidR="002B35FC" w:rsidRPr="00690776">
        <w:t>,</w:t>
      </w:r>
      <w:r w:rsidR="001B057E" w:rsidRPr="00690776">
        <w:t xml:space="preserve"> requiere un laborioso trabajo de mediación y traducción o, como dice Lotman, una explosión de nuevas metáforas (Fabbri y Marrone</w:t>
      </w:r>
      <w:r w:rsidR="00D97F71" w:rsidRPr="00690776">
        <w:t xml:space="preserve"> 2001</w:t>
      </w:r>
      <w:r w:rsidR="001B057E" w:rsidRPr="00690776">
        <w:t xml:space="preserve">). </w:t>
      </w:r>
      <w:r w:rsidR="00200B10" w:rsidRPr="00690776">
        <w:t>Es</w:t>
      </w:r>
      <w:r w:rsidR="00FD6C1D" w:rsidRPr="00690776">
        <w:t xml:space="preserve"> siempre</w:t>
      </w:r>
      <w:r w:rsidR="00200B10" w:rsidRPr="00690776">
        <w:t xml:space="preserve"> difícil </w:t>
      </w:r>
      <w:r w:rsidR="00904276" w:rsidRPr="00690776">
        <w:t>cuestionar la propia creencia</w:t>
      </w:r>
      <w:r w:rsidR="00A14284" w:rsidRPr="00690776">
        <w:t>, para ello, dice Peirce,</w:t>
      </w:r>
      <w:r w:rsidR="00904276" w:rsidRPr="00690776">
        <w:t xml:space="preserve"> “debe haber una duda real y viva” (C.P. 5.376). </w:t>
      </w:r>
      <w:r w:rsidR="000460ED">
        <w:t>Pero se comunica siempre en la frontera, porque</w:t>
      </w:r>
      <w:r w:rsidR="001B057E" w:rsidRPr="00690776">
        <w:t xml:space="preserve"> en el interior de la esfera de sentido de una cultura, la semiosfera, hay entre los </w:t>
      </w:r>
      <w:r w:rsidR="00257786" w:rsidRPr="00690776">
        <w:t xml:space="preserve">varios </w:t>
      </w:r>
      <w:r w:rsidR="001B057E" w:rsidRPr="00690776">
        <w:t xml:space="preserve">sistemas semióticos diferencias de densidad, ritmo, posición, que forman  </w:t>
      </w:r>
      <w:r w:rsidR="001B057E" w:rsidRPr="00690776">
        <w:rPr>
          <w:bCs/>
        </w:rPr>
        <w:t>núcleos y periferias</w:t>
      </w:r>
      <w:r w:rsidR="001B057E" w:rsidRPr="00690776">
        <w:t xml:space="preserve">, corrientes, jerarquías y orientaciones de valor. En el núcleo se disponen los sistemas semióticos dominantes (Lotman, 1996: 30), pervasivos, obvios; </w:t>
      </w:r>
      <w:r w:rsidR="001B057E" w:rsidRPr="00690776">
        <w:rPr>
          <w:bCs/>
        </w:rPr>
        <w:t>lo hipervisible</w:t>
      </w:r>
      <w:r w:rsidR="001B057E" w:rsidRPr="00690776">
        <w:t xml:space="preserve">, que apenas deja espacio para lo que se recluye en periferias o en nichos minoritarios, pero </w:t>
      </w:r>
      <w:r w:rsidR="00FD6C1D" w:rsidRPr="00690776">
        <w:t>que es capaz</w:t>
      </w:r>
      <w:r w:rsidR="001B057E" w:rsidRPr="00690776">
        <w:t xml:space="preserve"> de proponer, en ocasiones, nuevas visiones del objeto y del mundo de sentido </w:t>
      </w:r>
      <w:r w:rsidR="00A14284" w:rsidRPr="00690776">
        <w:t>en cuestión</w:t>
      </w:r>
      <w:r w:rsidR="001B057E" w:rsidRPr="00690776">
        <w:t>.</w:t>
      </w:r>
      <w:r w:rsidR="00A14284" w:rsidRPr="00690776">
        <w:t xml:space="preserve"> El análisis </w:t>
      </w:r>
      <w:r w:rsidR="00075B48" w:rsidRPr="00690776">
        <w:t xml:space="preserve">semiótico </w:t>
      </w:r>
      <w:r w:rsidR="00A14284" w:rsidRPr="00690776">
        <w:t>de los textos debe ilu</w:t>
      </w:r>
      <w:r w:rsidR="00735C87" w:rsidRPr="00690776">
        <w:t>minar esta dimensión conflictual y creativa</w:t>
      </w:r>
      <w:r w:rsidR="00A14284" w:rsidRPr="00690776">
        <w:t xml:space="preserve"> de la interacción enunciativa.</w:t>
      </w:r>
    </w:p>
    <w:p w14:paraId="4E0ED68B" w14:textId="77777777" w:rsidR="00D603D2" w:rsidRPr="00690776" w:rsidRDefault="00D603D2" w:rsidP="00E47DC8"/>
    <w:p w14:paraId="2A496B4A" w14:textId="77777777" w:rsidR="00D603D2" w:rsidRPr="00690776" w:rsidRDefault="00D603D2" w:rsidP="00E47DC8"/>
    <w:p w14:paraId="5DA5B2B9" w14:textId="77777777" w:rsidR="00D603D2" w:rsidRPr="00690776" w:rsidRDefault="00D603D2" w:rsidP="00E47DC8"/>
    <w:p w14:paraId="38C64FEE" w14:textId="77777777" w:rsidR="00D603D2" w:rsidRPr="00690776" w:rsidRDefault="00D603D2" w:rsidP="00E47DC8"/>
    <w:tbl>
      <w:tblPr>
        <w:tblW w:w="8465" w:type="dxa"/>
        <w:tblInd w:w="110" w:type="dxa"/>
        <w:tblLayout w:type="fixed"/>
        <w:tblCellMar>
          <w:left w:w="70" w:type="dxa"/>
          <w:right w:w="70" w:type="dxa"/>
        </w:tblCellMar>
        <w:tblLook w:val="0000" w:firstRow="0" w:lastRow="0" w:firstColumn="0" w:lastColumn="0" w:noHBand="0" w:noVBand="0"/>
      </w:tblPr>
      <w:tblGrid>
        <w:gridCol w:w="3646"/>
        <w:gridCol w:w="4819"/>
      </w:tblGrid>
      <w:tr w:rsidR="00D603D2" w:rsidRPr="00690776" w14:paraId="71C0BFEE" w14:textId="77777777" w:rsidTr="00AC303A">
        <w:trPr>
          <w:trHeight w:val="4237"/>
        </w:trPr>
        <w:tc>
          <w:tcPr>
            <w:tcW w:w="3646" w:type="dxa"/>
          </w:tcPr>
          <w:p w14:paraId="2AF52671" w14:textId="77777777" w:rsidR="00D603D2" w:rsidRPr="00690776" w:rsidRDefault="00D603D2" w:rsidP="003D7D34">
            <w:pPr>
              <w:ind w:left="-40"/>
            </w:pPr>
            <w:r w:rsidRPr="00690776">
              <w:rPr>
                <w:noProof/>
                <w:lang w:eastAsia="es-ES" w:bidi="ar-SA"/>
              </w:rPr>
              <w:lastRenderedPageBreak/>
              <w:drawing>
                <wp:inline distT="0" distB="0" distL="0" distR="0" wp14:anchorId="4FBCB03A" wp14:editId="14C17A63">
                  <wp:extent cx="2343150" cy="2552700"/>
                  <wp:effectExtent l="0" t="0" r="0" b="0"/>
                  <wp:docPr id="5" name="Imagen 4" descr="nokiaworld"/>
                  <wp:cNvGraphicFramePr/>
                  <a:graphic xmlns:a="http://schemas.openxmlformats.org/drawingml/2006/main">
                    <a:graphicData uri="http://schemas.openxmlformats.org/drawingml/2006/picture">
                      <pic:pic xmlns:pic="http://schemas.openxmlformats.org/drawingml/2006/picture">
                        <pic:nvPicPr>
                          <pic:cNvPr id="2" name="Picture 5" descr="nokiaworld"/>
                          <pic:cNvPicPr>
                            <a:picLocks noChangeAspect="1" noChangeArrowheads="1"/>
                          </pic:cNvPicPr>
                        </pic:nvPicPr>
                        <pic:blipFill>
                          <a:blip r:embed="rId8" cstate="print">
                            <a:grayscl/>
                            <a:extLst>
                              <a:ext uri="{28A0092B-C50C-407E-A947-70E740481C1C}">
                                <a14:useLocalDpi xmlns:a14="http://schemas.microsoft.com/office/drawing/2010/main" val="0"/>
                              </a:ext>
                            </a:extLst>
                          </a:blip>
                          <a:srcRect/>
                          <a:stretch>
                            <a:fillRect/>
                          </a:stretch>
                        </pic:blipFill>
                        <pic:spPr bwMode="auto">
                          <a:xfrm>
                            <a:off x="0" y="0"/>
                            <a:ext cx="2344420" cy="2554084"/>
                          </a:xfrm>
                          <a:prstGeom prst="rect">
                            <a:avLst/>
                          </a:prstGeom>
                          <a:noFill/>
                        </pic:spPr>
                      </pic:pic>
                    </a:graphicData>
                  </a:graphic>
                </wp:inline>
              </w:drawing>
            </w:r>
          </w:p>
        </w:tc>
        <w:tc>
          <w:tcPr>
            <w:tcW w:w="4819" w:type="dxa"/>
          </w:tcPr>
          <w:p w14:paraId="19D093BF" w14:textId="77777777" w:rsidR="00D603D2" w:rsidRPr="00690776" w:rsidRDefault="002B35FC" w:rsidP="003D7D34">
            <w:r w:rsidRPr="00690776">
              <w:rPr>
                <w:noProof/>
                <w:lang w:eastAsia="es-ES" w:bidi="ar-SA"/>
              </w:rPr>
              <w:drawing>
                <wp:inline distT="0" distB="0" distL="0" distR="0" wp14:anchorId="5D80EF38" wp14:editId="36662D95">
                  <wp:extent cx="3076575" cy="2552700"/>
                  <wp:effectExtent l="19050" t="0" r="0" b="0"/>
                  <wp:docPr id="14" name="Objeto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384376" cy="2736304"/>
                            <a:chOff x="4355976" y="476672"/>
                            <a:chExt cx="3384376" cy="2736304"/>
                          </a:xfrm>
                        </a:grpSpPr>
                        <a:grpSp>
                          <a:nvGrpSpPr>
                            <a:cNvPr id="7" name="6 Grupo"/>
                            <a:cNvGrpSpPr/>
                          </a:nvGrpSpPr>
                          <a:grpSpPr>
                            <a:xfrm>
                              <a:off x="4355976" y="476672"/>
                              <a:ext cx="3384376" cy="2736304"/>
                              <a:chOff x="4716016" y="476672"/>
                              <a:chExt cx="4322556" cy="3600400"/>
                            </a:xfrm>
                          </a:grpSpPr>
                          <a:sp>
                            <a:nvSpPr>
                              <a:cNvPr id="5" name="4 Rectángulo"/>
                              <a:cNvSpPr/>
                            </a:nvSpPr>
                            <a:spPr>
                              <a:xfrm>
                                <a:off x="4716016" y="476672"/>
                                <a:ext cx="4322556" cy="3600400"/>
                              </a:xfrm>
                              <a:prstGeom prst="rect">
                                <a:avLst/>
                              </a:prstGeom>
                              <a:solidFill>
                                <a:schemeClr val="bg1">
                                  <a:lumMod val="95000"/>
                                </a:schemeClr>
                              </a:solidFill>
                              <a:ln w="3175"/>
                            </a:spPr>
                            <a:txSp>
                              <a:txBody>
                                <a:bodyPr rtlCol="0" anchor="ctr"/>
                                <a:lstStyle>
                                  <a:defPPr>
                                    <a:defRPr lang="es-E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s-ES"/>
                                </a:p>
                              </a:txBody>
                              <a:useSpRect/>
                            </a:txSp>
                            <a:style>
                              <a:lnRef idx="2">
                                <a:schemeClr val="accent1">
                                  <a:shade val="50000"/>
                                </a:schemeClr>
                              </a:lnRef>
                              <a:fillRef idx="1">
                                <a:schemeClr val="accent1"/>
                              </a:fillRef>
                              <a:effectRef idx="0">
                                <a:schemeClr val="accent1"/>
                              </a:effectRef>
                              <a:fontRef idx="minor">
                                <a:schemeClr val="lt1"/>
                              </a:fontRef>
                            </a:style>
                          </a:sp>
                          <a:grpSp>
                            <a:nvGrpSpPr>
                              <a:cNvPr id="4" name="5 Grupo"/>
                              <a:cNvGrpSpPr/>
                            </a:nvGrpSpPr>
                            <a:grpSpPr>
                              <a:xfrm>
                                <a:off x="4716016" y="476672"/>
                                <a:ext cx="4320480" cy="3600400"/>
                                <a:chOff x="4716016" y="476672"/>
                                <a:chExt cx="4320480" cy="3600400"/>
                              </a:xfrm>
                            </a:grpSpPr>
                            <a:pic>
                              <a:nvPicPr>
                                <a:cNvPr id="3" name="2 Imagen" descr="http://comunicarseweb.com.ar/upload/image/600x6001307534762_Ken.jpg"/>
                                <a:cNvPicPr/>
                              </a:nvPicPr>
                              <a:blipFill>
                                <a:blip r:embed="rId9" cstate="print">
                                  <a:grayscl/>
                                  <a:extLst>
                                    <a:ext uri="{28A0092B-C50C-407E-A947-70E740481C1C}">
                                      <a14:useLocalDpi xmlns:a14="http://schemas.microsoft.com/office/drawing/2010/main" val="0"/>
                                    </a:ext>
                                  </a:extLst>
                                </a:blip>
                                <a:srcRect/>
                                <a:stretch>
                                  <a:fillRect/>
                                </a:stretch>
                              </a:blipFill>
                              <a:spPr bwMode="auto">
                                <a:xfrm>
                                  <a:off x="5364088" y="620688"/>
                                  <a:ext cx="3672408" cy="3456384"/>
                                </a:xfrm>
                                <a:prstGeom prst="rect">
                                  <a:avLst/>
                                </a:prstGeom>
                                <a:noFill/>
                                <a:ln w="3175">
                                  <a:solidFill>
                                    <a:schemeClr val="tx1"/>
                                  </a:solidFill>
                                </a:ln>
                              </a:spPr>
                            </a:pic>
                            <a:pic>
                              <a:nvPicPr>
                                <a:cNvPr id="2" name="Picture 2" descr="http://www.dollstuff.net/diary/2011/03/happy-birthday-barbie-and-ken.jpg"/>
                                <a:cNvPicPr>
                                  <a:picLocks noChangeAspect="1" noChangeArrowheads="1"/>
                                </a:cNvPicPr>
                              </a:nvPicPr>
                              <a:blipFill>
                                <a:blip r:embed="rId10" cstate="print">
                                  <a:grayscl/>
                                  <a:extLst>
                                    <a:ext uri="{28A0092B-C50C-407E-A947-70E740481C1C}">
                                      <a14:useLocalDpi xmlns:a14="http://schemas.microsoft.com/office/drawing/2010/main" val="0"/>
                                    </a:ext>
                                  </a:extLst>
                                </a:blip>
                                <a:srcRect/>
                                <a:stretch>
                                  <a:fillRect/>
                                </a:stretch>
                              </a:blipFill>
                              <a:spPr bwMode="auto">
                                <a:xfrm>
                                  <a:off x="4716016" y="476672"/>
                                  <a:ext cx="1729046" cy="1944216"/>
                                </a:xfrm>
                                <a:prstGeom prst="rect">
                                  <a:avLst/>
                                </a:prstGeom>
                                <a:noFill/>
                                <a:ln w="3175">
                                  <a:solidFill>
                                    <a:schemeClr val="tx1"/>
                                  </a:solidFill>
                                </a:ln>
                                <a:extLst>
                                  <a:ext uri="{909E8E84-426E-40DD-AFC4-6F175D3DCCD1}">
                                    <a14:hiddenFill xmlns:a14="http://schemas.microsoft.com/office/drawing/2010/main">
                                      <a:solidFill>
                                        <a:srgbClr val="FFFFFF"/>
                                      </a:solidFill>
                                    </a14:hiddenFill>
                                  </a:ext>
                                </a:extLst>
                              </a:spPr>
                            </a:pic>
                          </a:grpSp>
                        </a:grpSp>
                      </lc:lockedCanvas>
                    </a:graphicData>
                  </a:graphic>
                </wp:inline>
              </w:drawing>
            </w:r>
          </w:p>
        </w:tc>
      </w:tr>
      <w:tr w:rsidR="003D7D34" w:rsidRPr="00690776" w14:paraId="3874C536" w14:textId="77777777" w:rsidTr="00AC303A">
        <w:trPr>
          <w:trHeight w:val="601"/>
        </w:trPr>
        <w:tc>
          <w:tcPr>
            <w:tcW w:w="3646" w:type="dxa"/>
          </w:tcPr>
          <w:p w14:paraId="0A8FFA7C" w14:textId="77777777" w:rsidR="003D7D34" w:rsidRPr="00690776" w:rsidRDefault="003D7D34" w:rsidP="00584237">
            <w:pPr>
              <w:spacing w:after="0" w:line="240" w:lineRule="auto"/>
              <w:rPr>
                <w:lang w:val="en-US"/>
              </w:rPr>
            </w:pPr>
            <w:r w:rsidRPr="00690776">
              <w:rPr>
                <w:i/>
                <w:iCs/>
                <w:lang w:val="en-US"/>
              </w:rPr>
              <w:t>Figura 2</w:t>
            </w:r>
            <w:r w:rsidRPr="00690776">
              <w:rPr>
                <w:lang w:val="en-US"/>
              </w:rPr>
              <w:t xml:space="preserve">. </w:t>
            </w:r>
            <w:r w:rsidRPr="00690776">
              <w:rPr>
                <w:i/>
                <w:lang w:val="en-US"/>
              </w:rPr>
              <w:t>Nokia</w:t>
            </w:r>
            <w:r w:rsidR="00691B7B" w:rsidRPr="00690776">
              <w:rPr>
                <w:i/>
                <w:lang w:val="en-US"/>
              </w:rPr>
              <w:t>.</w:t>
            </w:r>
            <w:r w:rsidRPr="00690776">
              <w:rPr>
                <w:i/>
                <w:lang w:val="en-US"/>
              </w:rPr>
              <w:t xml:space="preserve"> Conquering the world since 1865</w:t>
            </w:r>
          </w:p>
        </w:tc>
        <w:tc>
          <w:tcPr>
            <w:tcW w:w="4819" w:type="dxa"/>
          </w:tcPr>
          <w:p w14:paraId="5089259C" w14:textId="77777777" w:rsidR="003D7D34" w:rsidRPr="00690776" w:rsidRDefault="003D7D34" w:rsidP="003D7D34">
            <w:pPr>
              <w:spacing w:after="0" w:line="240" w:lineRule="auto"/>
              <w:rPr>
                <w:lang w:val="en-US"/>
              </w:rPr>
            </w:pPr>
            <w:r w:rsidRPr="00690776">
              <w:rPr>
                <w:i/>
                <w:iCs/>
                <w:lang w:val="en-US"/>
              </w:rPr>
              <w:t>Figura 3.</w:t>
            </w:r>
            <w:r w:rsidRPr="00690776">
              <w:rPr>
                <w:lang w:val="en-US"/>
              </w:rPr>
              <w:t xml:space="preserve"> </w:t>
            </w:r>
            <w:r w:rsidRPr="00690776">
              <w:rPr>
                <w:i/>
                <w:lang w:val="en-US"/>
              </w:rPr>
              <w:t>Barbie, it’s over. I don’t date girls that are into deforestation. Greenpeace.org/ken</w:t>
            </w:r>
          </w:p>
        </w:tc>
      </w:tr>
    </w:tbl>
    <w:p w14:paraId="72BE85E6" w14:textId="77777777" w:rsidR="00ED452A" w:rsidRPr="00690776" w:rsidRDefault="00ED452A" w:rsidP="003D7D34">
      <w:pPr>
        <w:spacing w:after="0" w:line="240" w:lineRule="auto"/>
        <w:rPr>
          <w:lang w:val="en-US"/>
        </w:rPr>
      </w:pPr>
    </w:p>
    <w:p w14:paraId="1223CE3B" w14:textId="77777777" w:rsidR="001B057E" w:rsidRPr="00690776" w:rsidRDefault="000460ED" w:rsidP="001B057E">
      <w:pPr>
        <w:rPr>
          <w:b/>
          <w:lang w:val="en-US"/>
        </w:rPr>
      </w:pPr>
      <w:r>
        <w:rPr>
          <w:lang w:val="en-US"/>
        </w:rPr>
        <w:t xml:space="preserve">Consideremos la </w:t>
      </w:r>
      <w:r w:rsidR="002B22FF" w:rsidRPr="00690776">
        <w:rPr>
          <w:lang w:val="en-US"/>
        </w:rPr>
        <w:t>Figura 2.</w:t>
      </w:r>
      <w:r w:rsidR="001B057E" w:rsidRPr="00690776">
        <w:rPr>
          <w:lang w:val="en-US"/>
        </w:rPr>
        <w:t xml:space="preserve"> Nokia, </w:t>
      </w:r>
      <w:r w:rsidR="001B057E" w:rsidRPr="00690776">
        <w:rPr>
          <w:i/>
          <w:lang w:val="en-US"/>
        </w:rPr>
        <w:t>Conquering the world</w:t>
      </w:r>
      <w:r w:rsidR="006D5B0F" w:rsidRPr="00690776">
        <w:rPr>
          <w:i/>
          <w:lang w:val="en-US"/>
        </w:rPr>
        <w:t>.</w:t>
      </w:r>
    </w:p>
    <w:p w14:paraId="02AB62B6" w14:textId="77777777" w:rsidR="001B057E" w:rsidRPr="00690776" w:rsidRDefault="001B057E" w:rsidP="00735C87">
      <w:r w:rsidRPr="00690776">
        <w:t xml:space="preserve">Identificamos inmediatamente este texto como publicitario, </w:t>
      </w:r>
      <w:r w:rsidR="002F1706" w:rsidRPr="00690776">
        <w:t>un género institucionalizado</w:t>
      </w:r>
      <w:r w:rsidRPr="00690776">
        <w:t xml:space="preserve"> en nuestra sociedad </w:t>
      </w:r>
      <w:r w:rsidR="002F1706" w:rsidRPr="00690776">
        <w:t xml:space="preserve">con condiciones de enunciación </w:t>
      </w:r>
      <w:r w:rsidR="00D61106" w:rsidRPr="00690776">
        <w:t>bien conocidas, las de u</w:t>
      </w:r>
      <w:r w:rsidRPr="00690776">
        <w:t>na comunicación no buscada ni elegida por su receptor que ha de ganarse la atención (el deseo de ver) de este y si es posible también su interés.</w:t>
      </w:r>
      <w:r w:rsidR="00D61106" w:rsidRPr="00690776">
        <w:t xml:space="preserve"> Nokia, que había hecho mundialmente conocido su slogan “Connecting people”,  </w:t>
      </w:r>
      <w:r w:rsidRPr="00690776">
        <w:t>trata</w:t>
      </w:r>
      <w:r w:rsidR="00D61106" w:rsidRPr="00690776">
        <w:t xml:space="preserve"> aquí</w:t>
      </w:r>
      <w:r w:rsidRPr="00690776">
        <w:t xml:space="preserve"> su “conquista del mundo” por medio del gesto amable de las manos que sostienen con cuidado el globo. Ese gesto prevé que su destinario cuente entre sus valores la necesidad del cuidado del mundo, la protección del ambiente</w:t>
      </w:r>
      <w:r w:rsidR="002B22FF" w:rsidRPr="00690776">
        <w:t xml:space="preserve"> y los seres vivos</w:t>
      </w:r>
      <w:r w:rsidRPr="00690776">
        <w:t>, etc., e introduce en la representación esta asociación de valor como recurso capaz de mitigar los aspectos más duros que pueden ser asociados por ese destinatario a la enunciación del propósito de conquista. Estamos ante una forma de hibridación de sistemas semióticos por medio de la cual la marca trata de apropiarse de un valor social que puede entenderse como opuesto a la idea de conquista y que podría contestar sus aspiraciones de dominio global.</w:t>
      </w:r>
      <w:r w:rsidR="002B22FF" w:rsidRPr="00690776">
        <w:t xml:space="preserve"> Trata de neutralizar es</w:t>
      </w:r>
      <w:r w:rsidR="00D61106" w:rsidRPr="00690776">
        <w:t>a posible contestación suponiendo que las asociaciones</w:t>
      </w:r>
      <w:r w:rsidR="002B22FF" w:rsidRPr="00690776">
        <w:t xml:space="preserve"> previas</w:t>
      </w:r>
      <w:r w:rsidR="00D61106" w:rsidRPr="00690776">
        <w:t xml:space="preserve"> de Nokia con el buen hacer para “la gente” (“connecting people”) hacen verosímil </w:t>
      </w:r>
      <w:r w:rsidR="002B22FF" w:rsidRPr="00690776">
        <w:t>la actual</w:t>
      </w:r>
      <w:r w:rsidR="00D61106" w:rsidRPr="00690776">
        <w:t xml:space="preserve"> asociación.</w:t>
      </w:r>
    </w:p>
    <w:p w14:paraId="03F69937" w14:textId="77777777" w:rsidR="001B057E" w:rsidRPr="00690776" w:rsidRDefault="00D61106" w:rsidP="009D2308">
      <w:r w:rsidRPr="00690776">
        <w:t xml:space="preserve">Según Eco, “las mejores metáforas son las que muestran la cultura en acción, los dinamismos </w:t>
      </w:r>
      <w:r w:rsidR="002B22FF" w:rsidRPr="00690776">
        <w:t xml:space="preserve">propios </w:t>
      </w:r>
      <w:r w:rsidRPr="00690776">
        <w:t>de la semiosis”</w:t>
      </w:r>
      <w:r w:rsidR="002B22FF" w:rsidRPr="00690776">
        <w:t xml:space="preserve"> (1984: 165)</w:t>
      </w:r>
      <w:r w:rsidRPr="00690776">
        <w:t>.</w:t>
      </w:r>
      <w:r w:rsidR="002B22FF" w:rsidRPr="00690776">
        <w:t xml:space="preserve"> Esta metáfora nos hace ver cómo el sentido y valor de la conquista del mundo ha cambiado desde los modernos exploradores y conquistadores y hoy debe ser acompañado de dulzura y cuidado, valores antes ajenos a la idea de conquista. Pero esta “buena” metáfora le da al diálogo con </w:t>
      </w:r>
      <w:r w:rsidR="009D2308" w:rsidRPr="00690776">
        <w:t>su destinatario</w:t>
      </w:r>
      <w:r w:rsidR="002B22FF" w:rsidRPr="00690776">
        <w:t xml:space="preserve"> un carácter “ideológico” –en el sentido de Eco, </w:t>
      </w:r>
      <w:r w:rsidR="00075B48" w:rsidRPr="00690776">
        <w:t>1975</w:t>
      </w:r>
      <w:r w:rsidR="002B22FF" w:rsidRPr="00690776">
        <w:t>- pues presenta el interés de expansión de una marca y su visión parcial como si fueran compatibles con los valores de todos.</w:t>
      </w:r>
    </w:p>
    <w:p w14:paraId="26609632" w14:textId="77777777" w:rsidR="001B057E" w:rsidRPr="00B90A1D" w:rsidRDefault="000460ED" w:rsidP="001B057E">
      <w:r w:rsidRPr="008168A0">
        <w:t xml:space="preserve">Veamos a continuación la </w:t>
      </w:r>
      <w:r w:rsidR="002B22FF" w:rsidRPr="008168A0">
        <w:t>Figura 3.</w:t>
      </w:r>
      <w:r w:rsidR="001B057E" w:rsidRPr="008168A0">
        <w:t xml:space="preserve"> </w:t>
      </w:r>
      <w:r w:rsidR="001B057E" w:rsidRPr="00B90A1D">
        <w:t xml:space="preserve">Greenpeace, </w:t>
      </w:r>
      <w:r w:rsidR="009D7A01" w:rsidRPr="00B90A1D">
        <w:rPr>
          <w:i/>
        </w:rPr>
        <w:t xml:space="preserve">Barbie, </w:t>
      </w:r>
      <w:r w:rsidR="001B057E" w:rsidRPr="00B90A1D">
        <w:rPr>
          <w:i/>
        </w:rPr>
        <w:t>it’s over</w:t>
      </w:r>
      <w:r w:rsidR="00BD404A" w:rsidRPr="00B90A1D">
        <w:t>.</w:t>
      </w:r>
    </w:p>
    <w:p w14:paraId="626EC402" w14:textId="77777777" w:rsidR="001B057E" w:rsidRPr="00690776" w:rsidRDefault="001B057E" w:rsidP="00735C87">
      <w:r w:rsidRPr="00690776">
        <w:t>La campaña de Greenpeace (</w:t>
      </w:r>
      <w:r w:rsidR="00735C87" w:rsidRPr="00690776">
        <w:t>un</w:t>
      </w:r>
      <w:r w:rsidRPr="00690776">
        <w:t xml:space="preserve"> género, que entendemos</w:t>
      </w:r>
      <w:r w:rsidR="008168A0">
        <w:t xml:space="preserve"> como similar y</w:t>
      </w:r>
      <w:r w:rsidRPr="00690776">
        <w:t xml:space="preserve"> diferente de la publicidad comercial) contra la fábrica de juguetes Mattel</w:t>
      </w:r>
      <w:r w:rsidR="00735C87" w:rsidRPr="00690776">
        <w:t>, productora de la Barbie,</w:t>
      </w:r>
      <w:r w:rsidRPr="00690776">
        <w:t xml:space="preserve"> transforma en otro modo los sistemas de significación de sus destinatarios. Parte de la popularidad de la </w:t>
      </w:r>
      <w:r w:rsidR="009D2308" w:rsidRPr="00690776">
        <w:lastRenderedPageBreak/>
        <w:t>muñeca</w:t>
      </w:r>
      <w:r w:rsidRPr="00690776">
        <w:t xml:space="preserve"> Barbie y su </w:t>
      </w:r>
      <w:r w:rsidR="00735C87" w:rsidRPr="00690776">
        <w:t>pareja</w:t>
      </w:r>
      <w:r w:rsidRPr="00690776">
        <w:t xml:space="preserve"> Ken</w:t>
      </w:r>
      <w:r w:rsidR="009D2308" w:rsidRPr="00690776">
        <w:t xml:space="preserve"> (aquí reproducidos en su aspecto “original” en el recuadro superior)</w:t>
      </w:r>
      <w:r w:rsidR="00735C87" w:rsidRPr="00690776">
        <w:t>, lo</w:t>
      </w:r>
      <w:r w:rsidRPr="00690776">
        <w:t xml:space="preserve"> </w:t>
      </w:r>
      <w:r w:rsidR="00735C87" w:rsidRPr="00690776">
        <w:t>que</w:t>
      </w:r>
      <w:r w:rsidRPr="00690776">
        <w:t xml:space="preserve"> le asegura  el proponer algo perfectamente reconocible en la enciclopedia común del público más amplio. En el campo visual lo más sorprendente es el cambio operado en la expresión de Ken, del rostro inexpresivo original al gesto de disgusto subrayado por la curvatura de la boca y las cejas</w:t>
      </w:r>
      <w:r w:rsidR="009D2308" w:rsidRPr="00690776">
        <w:t>,</w:t>
      </w:r>
      <w:r w:rsidRPr="00690776">
        <w:t xml:space="preserve"> que cambia toda la apariencia del </w:t>
      </w:r>
      <w:r w:rsidR="009D2308" w:rsidRPr="00690776">
        <w:t>muñeco</w:t>
      </w:r>
      <w:r w:rsidRPr="00690776">
        <w:t>.</w:t>
      </w:r>
    </w:p>
    <w:p w14:paraId="4E627919" w14:textId="77777777" w:rsidR="001B057E" w:rsidRPr="00690776" w:rsidRDefault="001B057E" w:rsidP="00C073AE">
      <w:r w:rsidRPr="00690776">
        <w:t xml:space="preserve">Al servirse de Barbie y Ken, con el objeto de denunciar la contaminación de la fábrica que produce estos juguetes, el anuncio entra en los sistemas de sentido propios de este mundo </w:t>
      </w:r>
      <w:r w:rsidR="009D2308" w:rsidRPr="00690776">
        <w:t xml:space="preserve">y esta enciclopedia </w:t>
      </w:r>
      <w:r w:rsidRPr="00690776">
        <w:t xml:space="preserve">particular. </w:t>
      </w:r>
      <w:r w:rsidR="005A6309" w:rsidRPr="00690776">
        <w:t>R</w:t>
      </w:r>
      <w:r w:rsidRPr="00690776">
        <w:t>etoma y subvierte la idea de la rel</w:t>
      </w:r>
      <w:r w:rsidR="00596C1D" w:rsidRPr="00690776">
        <w:t>ación Barbie-Ken como idílica, u</w:t>
      </w:r>
      <w:r w:rsidRPr="00690776">
        <w:t>n lugar común que viene de la extensa tradición rosa (</w:t>
      </w:r>
      <w:r w:rsidR="005A6309" w:rsidRPr="00690776">
        <w:t>ver</w:t>
      </w:r>
      <w:r w:rsidRPr="00690776">
        <w:t xml:space="preserve"> Pozzato </w:t>
      </w:r>
      <w:r w:rsidR="00BD404A" w:rsidRPr="00690776">
        <w:t>1995</w:t>
      </w:r>
      <w:r w:rsidRPr="00690776">
        <w:t>) e inunda la educación sentimental y el entretenimiento de las niñas, no de los niños. La relación idílica trascurre en un terreno ajeno a los problemas políticos, ambientales o sociales</w:t>
      </w:r>
      <w:r w:rsidR="00735C87" w:rsidRPr="00690776">
        <w:t>, en el que es inimaginable el</w:t>
      </w:r>
      <w:r w:rsidRPr="00690776">
        <w:t xml:space="preserve"> enunciado de Ken sobre la deforestación y más aún el que rompa su relación con la maravillosa Barbie por ello, haciendo gala de una conciencia ecológica que prevalece sobre su relación afectiva. </w:t>
      </w:r>
      <w:r w:rsidR="005A6309" w:rsidRPr="00690776">
        <w:t>El texto realiza</w:t>
      </w:r>
      <w:r w:rsidR="00735C87" w:rsidRPr="00690776">
        <w:t xml:space="preserve"> así</w:t>
      </w:r>
      <w:r w:rsidRPr="00690776">
        <w:t xml:space="preserve"> </w:t>
      </w:r>
      <w:r w:rsidR="005A6309" w:rsidRPr="00690776">
        <w:t>una traducción</w:t>
      </w:r>
      <w:r w:rsidR="00596C1D" w:rsidRPr="00690776">
        <w:t xml:space="preserve"> humorística</w:t>
      </w:r>
      <w:r w:rsidR="005A6309" w:rsidRPr="00690776">
        <w:t xml:space="preserve"> de la</w:t>
      </w:r>
      <w:r w:rsidR="00645C2D" w:rsidRPr="00690776">
        <w:t>s preocupaciones</w:t>
      </w:r>
      <w:r w:rsidR="005A6309" w:rsidRPr="00690776">
        <w:t xml:space="preserve"> ecológica</w:t>
      </w:r>
      <w:r w:rsidR="00645C2D" w:rsidRPr="00690776">
        <w:t>s</w:t>
      </w:r>
      <w:r w:rsidR="005A6309" w:rsidRPr="00690776">
        <w:t xml:space="preserve"> </w:t>
      </w:r>
      <w:r w:rsidRPr="00690776">
        <w:t xml:space="preserve">en el lenguaje de las relaciones </w:t>
      </w:r>
      <w:r w:rsidR="00596C1D" w:rsidRPr="00690776">
        <w:t>idílicas</w:t>
      </w:r>
      <w:r w:rsidR="005A6309" w:rsidRPr="00690776">
        <w:t xml:space="preserve">, más </w:t>
      </w:r>
      <w:r w:rsidR="00C073AE" w:rsidRPr="00690776">
        <w:t>explosiva</w:t>
      </w:r>
      <w:r w:rsidR="005A6309" w:rsidRPr="00690776">
        <w:t xml:space="preserve"> cuanto más sorprendente e inverosímil</w:t>
      </w:r>
      <w:r w:rsidRPr="00690776">
        <w:t>.</w:t>
      </w:r>
      <w:r w:rsidR="00596C1D" w:rsidRPr="00690776">
        <w:t xml:space="preserve"> Así</w:t>
      </w:r>
      <w:r w:rsidRPr="00690776">
        <w:t xml:space="preserve"> Greenpeace consigue, además de denunciar a la empresa Mattel, mostrar cómo está conformado y qué resulta incompatible con el sistema de sentido en el que se ubican esas muñecas y el mundo de glamour rosa del que se nutren y al que refuerzan, de un modo quizá más eficaz que </w:t>
      </w:r>
      <w:r w:rsidR="00C073AE" w:rsidRPr="00690776">
        <w:t>el propio de un discurso crítico</w:t>
      </w:r>
      <w:r w:rsidRPr="00690776">
        <w:t xml:space="preserve"> que tuviera el objetivo de “desenmascarar” la ideología de las barbies.</w:t>
      </w:r>
    </w:p>
    <w:p w14:paraId="32CC99B0" w14:textId="77777777" w:rsidR="001B057E" w:rsidRPr="0035315F" w:rsidRDefault="00833E91" w:rsidP="001B057E">
      <w:pPr>
        <w:autoSpaceDE w:val="0"/>
        <w:autoSpaceDN w:val="0"/>
        <w:adjustRightInd w:val="0"/>
        <w:spacing w:after="0" w:line="240" w:lineRule="auto"/>
        <w:rPr>
          <w:i/>
        </w:rPr>
      </w:pPr>
      <w:r w:rsidRPr="0035315F">
        <w:rPr>
          <w:i/>
        </w:rPr>
        <w:t>5. Retorno al objeto de la semiótica.</w:t>
      </w:r>
    </w:p>
    <w:p w14:paraId="6E30B419" w14:textId="77777777" w:rsidR="00833E91" w:rsidRPr="00690776" w:rsidRDefault="00833E91" w:rsidP="001B057E">
      <w:pPr>
        <w:autoSpaceDE w:val="0"/>
        <w:autoSpaceDN w:val="0"/>
        <w:adjustRightInd w:val="0"/>
        <w:spacing w:after="0" w:line="240" w:lineRule="auto"/>
      </w:pPr>
    </w:p>
    <w:p w14:paraId="5D7A2801" w14:textId="77777777" w:rsidR="00FF2E90" w:rsidRPr="00690776" w:rsidRDefault="0035315F" w:rsidP="000B7B5A">
      <w:r>
        <w:t>Al ver cada acto de enunciación como una actualización de la enciclopedia, tal acto</w:t>
      </w:r>
      <w:r w:rsidR="00FF2E90" w:rsidRPr="00690776">
        <w:t xml:space="preserve"> </w:t>
      </w:r>
      <w:r>
        <w:t>se convierte</w:t>
      </w:r>
      <w:r w:rsidR="00FF2E90" w:rsidRPr="00690776">
        <w:t xml:space="preserve">, </w:t>
      </w:r>
      <w:r>
        <w:t>para</w:t>
      </w:r>
      <w:r w:rsidR="00FF2E90" w:rsidRPr="00690776">
        <w:t xml:space="preserve"> Paolucci</w:t>
      </w:r>
      <w:r w:rsidR="00C073AE" w:rsidRPr="00690776">
        <w:t xml:space="preserve"> (</w:t>
      </w:r>
      <w:r>
        <w:t>2010: 216</w:t>
      </w:r>
      <w:r w:rsidR="00C073AE" w:rsidRPr="00690776">
        <w:t>)</w:t>
      </w:r>
      <w:r w:rsidR="00FF2E90" w:rsidRPr="00690776">
        <w:t xml:space="preserve">, </w:t>
      </w:r>
      <w:r>
        <w:t>en</w:t>
      </w:r>
      <w:r w:rsidR="00C073AE" w:rsidRPr="00690776">
        <w:t xml:space="preserve"> “una adición de sustracciones que actualiza un virtual enciclopédico con sus estereotipos, sus clichés y su abrumador ya dicho, aunque trate de desviarse</w:t>
      </w:r>
      <w:r>
        <w:t xml:space="preserve"> más o menos de ellos”. Diría</w:t>
      </w:r>
      <w:r w:rsidR="00C073AE" w:rsidRPr="00690776">
        <w:t xml:space="preserve"> que además de sustracciones, los enunciados y textos realizan retomas,</w:t>
      </w:r>
      <w:r w:rsidR="00F5198E" w:rsidRPr="00690776">
        <w:t xml:space="preserve"> repeticiones, desplazamientos, cuestionamientos. Las diversas </w:t>
      </w:r>
      <w:r w:rsidR="00C073AE" w:rsidRPr="00690776">
        <w:t>operaciones que actualizan y recrean la enciclopedia</w:t>
      </w:r>
      <w:r>
        <w:t xml:space="preserve"> en los encuentros y los textos</w:t>
      </w:r>
      <w:r w:rsidR="00F5198E" w:rsidRPr="00690776">
        <w:t xml:space="preserve"> interesan a la semiótica por lo que confirman y cambian de los sistemas precedentes y por lo que hacen posible</w:t>
      </w:r>
      <w:r>
        <w:t xml:space="preserve"> en la vida social del sentido</w:t>
      </w:r>
      <w:r w:rsidR="00645C2D" w:rsidRPr="00690776">
        <w:t xml:space="preserve">. </w:t>
      </w:r>
      <w:r>
        <w:t>Con cada producción que entra a formar parte de los “posibles marcos intertextuales”, “La enciclopedia se enriquece con nuevas posibilidades”</w:t>
      </w:r>
      <w:r w:rsidR="00FF2E90" w:rsidRPr="00690776">
        <w:t xml:space="preserve">, en la visión de Eco (1984: 72). </w:t>
      </w:r>
      <w:r w:rsidR="00FF2E90" w:rsidRPr="00690776">
        <w:rPr>
          <w:lang w:val="es-ES_tradnl"/>
        </w:rPr>
        <w:t>Y, en otros términos, de Fontanille, que escribe: la enunciación presupone el sistema de la lengua, el conjunto de generos y tipos de discurso, de repertorios y enciclopedias de formas propias de una cultura; supone una historia de los usos y praxis anteriores asumidos por una colectividad y acumulados en la memoria. Pero la enunciación no sólo explota el sistema en stock, contribuye a remodelarlo y a ponerlo en devenir</w:t>
      </w:r>
      <w:r w:rsidR="00645C2D" w:rsidRPr="00690776">
        <w:rPr>
          <w:lang w:val="es-ES_tradnl"/>
        </w:rPr>
        <w:t xml:space="preserve">  (Fontanille 1998: 272, 273.</w:t>
      </w:r>
      <w:r>
        <w:rPr>
          <w:lang w:val="es-ES_tradnl"/>
        </w:rPr>
        <w:t>)</w:t>
      </w:r>
      <w:r w:rsidR="00645C2D" w:rsidRPr="00690776">
        <w:rPr>
          <w:lang w:val="es-ES_tradnl"/>
        </w:rPr>
        <w:t xml:space="preserve"> El</w:t>
      </w:r>
      <w:r w:rsidR="00FF2E90" w:rsidRPr="00690776">
        <w:t xml:space="preserve"> concepto de </w:t>
      </w:r>
      <w:r w:rsidR="00FF2E90" w:rsidRPr="00690776">
        <w:rPr>
          <w:bCs/>
        </w:rPr>
        <w:t>praxis enunciativa</w:t>
      </w:r>
      <w:r w:rsidR="00FF2E90" w:rsidRPr="00690776">
        <w:t xml:space="preserve"> de Fontanille, sostiene Marrone</w:t>
      </w:r>
      <w:r>
        <w:t xml:space="preserve">, </w:t>
      </w:r>
      <w:r w:rsidR="00FF2E90" w:rsidRPr="00690776">
        <w:t>“retoma el problema de la cultura en el interior de la textualidad, indaga la socialidad intrínseca en la semiosis”</w:t>
      </w:r>
      <w:r w:rsidR="008547C7">
        <w:t xml:space="preserve"> </w:t>
      </w:r>
      <w:r>
        <w:t>(</w:t>
      </w:r>
      <w:r w:rsidRPr="00690776">
        <w:t>Marrone</w:t>
      </w:r>
      <w:r w:rsidR="008547C7">
        <w:t xml:space="preserve">, </w:t>
      </w:r>
      <w:r w:rsidRPr="00690776">
        <w:t>2010:118</w:t>
      </w:r>
      <w:r w:rsidR="00FF2E90" w:rsidRPr="00690776">
        <w:t>).</w:t>
      </w:r>
    </w:p>
    <w:p w14:paraId="325D9132" w14:textId="77777777" w:rsidR="003A635E" w:rsidRPr="00690776" w:rsidRDefault="003A635E" w:rsidP="003A635E">
      <w:r w:rsidRPr="00690776">
        <w:t>Como objeto científico de una semiótica de las culturas, Paolucci propone que “debe ocuparse de este virtual estereotípico de tipo enciclopédico que precede al acto de enunciación y lo hace funcionar” (2010: 216). Diría que interesa a la semiótica</w:t>
      </w:r>
      <w:r w:rsidR="000B7B5A" w:rsidRPr="00690776">
        <w:t xml:space="preserve"> interrogarse sobre este objeto</w:t>
      </w:r>
      <w:r w:rsidRPr="00690776">
        <w:t xml:space="preserve"> considerando: a) el dinamismo de las enciclopedias y de la semiosis, b) cómo la</w:t>
      </w:r>
      <w:r w:rsidR="000B7B5A" w:rsidRPr="00690776">
        <w:t>s</w:t>
      </w:r>
      <w:r w:rsidRPr="00690776">
        <w:t xml:space="preserve"> enciclopedia</w:t>
      </w:r>
      <w:r w:rsidR="000B7B5A" w:rsidRPr="00690776">
        <w:t>s</w:t>
      </w:r>
      <w:r w:rsidRPr="00690776">
        <w:t xml:space="preserve"> </w:t>
      </w:r>
      <w:r w:rsidRPr="00690776">
        <w:lastRenderedPageBreak/>
        <w:t>hace</w:t>
      </w:r>
      <w:r w:rsidR="000B7B5A" w:rsidRPr="00690776">
        <w:t>n</w:t>
      </w:r>
      <w:r w:rsidRPr="00690776">
        <w:t xml:space="preserve"> funcionar el acto de enunciación, c) cómo la enunciación</w:t>
      </w:r>
      <w:r w:rsidR="000B7B5A" w:rsidRPr="00690776">
        <w:t xml:space="preserve"> hace funcionar –refuerza o transforma- las enciclopedias precedentes. </w:t>
      </w:r>
      <w:r w:rsidR="00D942DD">
        <w:t xml:space="preserve">Es seguramente a partir de la enunciación en las interacciones y en los textos como podemos estudiar la dinámica de las enciclopedias. </w:t>
      </w:r>
      <w:r w:rsidR="000B7B5A" w:rsidRPr="00690776">
        <w:t xml:space="preserve">Paolucci insiste en la repetición de lo ya dicho y minimiza la posibilidad de desvío o cambio de los sistemas. </w:t>
      </w:r>
      <w:r w:rsidR="006D5B0F" w:rsidRPr="00690776">
        <w:t>Sin embargo</w:t>
      </w:r>
      <w:r w:rsidR="000B7B5A" w:rsidRPr="00690776">
        <w:t xml:space="preserve">, esta posibilidad resulta central cuando se toma la definición de texto de Eco como un método, un camino para comprender cómo cada texto y cada intercambio comunicativo contribuye al formarse y transformarse de los sistemas de sentido. </w:t>
      </w:r>
      <w:r w:rsidR="008547C7">
        <w:t>Articulada</w:t>
      </w:r>
      <w:r w:rsidR="000B7B5A" w:rsidRPr="00690776">
        <w:t xml:space="preserve"> con una visión estratégica y polémica de la interacción enunciativa, esta me parece una </w:t>
      </w:r>
      <w:r w:rsidR="006D5B0F" w:rsidRPr="00690776">
        <w:t>cuestión</w:t>
      </w:r>
      <w:r w:rsidR="000B7B5A" w:rsidRPr="00690776">
        <w:t xml:space="preserve"> particularmente interesante tanto para la semiótica como para su </w:t>
      </w:r>
      <w:r w:rsidR="008547C7">
        <w:t xml:space="preserve">posible </w:t>
      </w:r>
      <w:r w:rsidR="000B7B5A" w:rsidRPr="00690776">
        <w:t>colaboración con las ciencias sociales.</w:t>
      </w:r>
    </w:p>
    <w:p w14:paraId="4A97F50B" w14:textId="77777777" w:rsidR="00FF2E90" w:rsidRPr="00690776" w:rsidRDefault="00FF2E90" w:rsidP="00FF2E90">
      <w:pPr>
        <w:autoSpaceDE w:val="0"/>
        <w:autoSpaceDN w:val="0"/>
        <w:adjustRightInd w:val="0"/>
        <w:spacing w:after="0" w:line="240" w:lineRule="auto"/>
      </w:pPr>
    </w:p>
    <w:p w14:paraId="42A08495" w14:textId="77777777" w:rsidR="001B057E" w:rsidRPr="00690776" w:rsidRDefault="001B057E" w:rsidP="001B057E">
      <w:pPr>
        <w:autoSpaceDE w:val="0"/>
        <w:autoSpaceDN w:val="0"/>
        <w:adjustRightInd w:val="0"/>
        <w:spacing w:after="0" w:line="240" w:lineRule="auto"/>
      </w:pPr>
      <w:r w:rsidRPr="00690776">
        <w:t>BIBLIOGRAFIA</w:t>
      </w:r>
    </w:p>
    <w:p w14:paraId="230B1CF3" w14:textId="77777777" w:rsidR="00C72104" w:rsidRPr="00690776" w:rsidRDefault="00C72104" w:rsidP="001B057E">
      <w:pPr>
        <w:autoSpaceDE w:val="0"/>
        <w:autoSpaceDN w:val="0"/>
        <w:adjustRightInd w:val="0"/>
        <w:spacing w:after="0" w:line="240" w:lineRule="auto"/>
        <w:rPr>
          <w:lang w:val="es-ES_tradnl"/>
        </w:rPr>
      </w:pPr>
    </w:p>
    <w:p w14:paraId="7C62616D" w14:textId="77777777" w:rsidR="001B057E" w:rsidRPr="00690776" w:rsidRDefault="001B057E" w:rsidP="001B057E">
      <w:pPr>
        <w:autoSpaceDE w:val="0"/>
        <w:autoSpaceDN w:val="0"/>
        <w:adjustRightInd w:val="0"/>
        <w:spacing w:after="0" w:line="240" w:lineRule="auto"/>
        <w:rPr>
          <w:lang w:val="es-ES_tradnl"/>
        </w:rPr>
      </w:pPr>
      <w:r w:rsidRPr="00690776">
        <w:rPr>
          <w:lang w:val="es-ES_tradnl"/>
        </w:rPr>
        <w:t xml:space="preserve">Bajtin, M. M. 1989, </w:t>
      </w:r>
      <w:r w:rsidRPr="00690776">
        <w:rPr>
          <w:i/>
          <w:lang w:val="es-ES_tradnl"/>
        </w:rPr>
        <w:t>Teoría y estética de la novela,</w:t>
      </w:r>
      <w:r w:rsidRPr="00690776">
        <w:rPr>
          <w:lang w:val="es-ES_tradnl"/>
        </w:rPr>
        <w:t xml:space="preserve"> Madrid, Taurus.</w:t>
      </w:r>
    </w:p>
    <w:p w14:paraId="654099EB" w14:textId="77777777" w:rsidR="001B057E" w:rsidRPr="00690776" w:rsidRDefault="001B057E" w:rsidP="001B057E">
      <w:pPr>
        <w:autoSpaceDE w:val="0"/>
        <w:autoSpaceDN w:val="0"/>
        <w:adjustRightInd w:val="0"/>
        <w:spacing w:after="0" w:line="240" w:lineRule="auto"/>
        <w:rPr>
          <w:lang w:val="es-ES_tradnl"/>
        </w:rPr>
      </w:pPr>
    </w:p>
    <w:p w14:paraId="7A5DA801" w14:textId="77777777" w:rsidR="001B057E" w:rsidRPr="00690776" w:rsidRDefault="001B057E" w:rsidP="001B057E">
      <w:pPr>
        <w:autoSpaceDE w:val="0"/>
        <w:autoSpaceDN w:val="0"/>
        <w:adjustRightInd w:val="0"/>
        <w:spacing w:after="0" w:line="240" w:lineRule="auto"/>
        <w:rPr>
          <w:lang w:val="fr-FR"/>
        </w:rPr>
      </w:pPr>
      <w:r w:rsidRPr="00690776">
        <w:rPr>
          <w:lang w:val="fr-FR"/>
        </w:rPr>
        <w:t>Bruner, J. 2002, “La culture, le Soi</w:t>
      </w:r>
      <w:r w:rsidR="00BD404A" w:rsidRPr="00690776">
        <w:rPr>
          <w:lang w:val="fr-FR"/>
        </w:rPr>
        <w:t xml:space="preserve"> et L’Autre”</w:t>
      </w:r>
      <w:r w:rsidRPr="00690776">
        <w:rPr>
          <w:lang w:val="fr-FR"/>
        </w:rPr>
        <w:t xml:space="preserve">, en Rastier, F. y Bouquet, S. </w:t>
      </w:r>
      <w:r w:rsidRPr="00690776">
        <w:rPr>
          <w:i/>
          <w:iCs/>
          <w:lang w:val="fr-FR"/>
        </w:rPr>
        <w:t>Une introduction aux sciences de la culture</w:t>
      </w:r>
      <w:r w:rsidRPr="00690776">
        <w:rPr>
          <w:lang w:val="fr-FR"/>
        </w:rPr>
        <w:t>, Paris, PUF.</w:t>
      </w:r>
    </w:p>
    <w:p w14:paraId="7603342F" w14:textId="77777777" w:rsidR="00FD627C" w:rsidRPr="00690776" w:rsidRDefault="00FD627C" w:rsidP="001B057E">
      <w:pPr>
        <w:autoSpaceDE w:val="0"/>
        <w:autoSpaceDN w:val="0"/>
        <w:adjustRightInd w:val="0"/>
        <w:spacing w:after="0" w:line="240" w:lineRule="auto"/>
        <w:rPr>
          <w:lang w:val="fr-FR"/>
        </w:rPr>
      </w:pPr>
    </w:p>
    <w:p w14:paraId="73F5D8CC" w14:textId="77777777" w:rsidR="00FD627C" w:rsidRPr="00690776" w:rsidRDefault="00FD627C" w:rsidP="000C46C2">
      <w:pPr>
        <w:autoSpaceDE w:val="0"/>
        <w:autoSpaceDN w:val="0"/>
        <w:adjustRightInd w:val="0"/>
        <w:spacing w:after="0" w:line="240" w:lineRule="auto"/>
      </w:pPr>
      <w:r w:rsidRPr="00690776">
        <w:t>Carvalho, J.J. 2007, “Hibridación”, en Barañano, A</w:t>
      </w:r>
      <w:r w:rsidR="000C46C2" w:rsidRPr="00690776">
        <w:t>.</w:t>
      </w:r>
      <w:r w:rsidRPr="00690776">
        <w:t xml:space="preserve">, García, J.L., Cátedra, M., Devillard, M.J. (coords.) </w:t>
      </w:r>
      <w:r w:rsidRPr="00690776">
        <w:rPr>
          <w:i/>
          <w:iCs/>
        </w:rPr>
        <w:t>Diccionario de relaciones interculturales. Diversidad y globalización</w:t>
      </w:r>
      <w:r w:rsidRPr="00690776">
        <w:t>. Madrid, Editorial Complutense</w:t>
      </w:r>
      <w:r w:rsidR="000C46C2" w:rsidRPr="00690776">
        <w:t>.</w:t>
      </w:r>
    </w:p>
    <w:p w14:paraId="398AEF57" w14:textId="77777777" w:rsidR="00410A87" w:rsidRPr="00690776" w:rsidRDefault="00410A87" w:rsidP="000C46C2">
      <w:pPr>
        <w:autoSpaceDE w:val="0"/>
        <w:autoSpaceDN w:val="0"/>
        <w:adjustRightInd w:val="0"/>
        <w:spacing w:after="0" w:line="240" w:lineRule="auto"/>
      </w:pPr>
    </w:p>
    <w:p w14:paraId="220C9F5E" w14:textId="77777777" w:rsidR="00410A87" w:rsidRPr="00690776" w:rsidRDefault="00410A87" w:rsidP="00410A87">
      <w:pPr>
        <w:autoSpaceDE w:val="0"/>
        <w:autoSpaceDN w:val="0"/>
        <w:adjustRightInd w:val="0"/>
        <w:spacing w:after="0" w:line="240" w:lineRule="auto"/>
        <w:rPr>
          <w:lang w:val="it-IT"/>
        </w:rPr>
      </w:pPr>
      <w:r w:rsidRPr="00690776">
        <w:rPr>
          <w:lang w:val="it-IT"/>
        </w:rPr>
        <w:t xml:space="preserve">Corrain, L. y Fabbri, P. 2013, “ Lo statuto della rappresentazione”, </w:t>
      </w:r>
      <w:r w:rsidRPr="0073095C">
        <w:rPr>
          <w:i/>
          <w:lang w:val="it-IT"/>
        </w:rPr>
        <w:t>E/C-AISS</w:t>
      </w:r>
    </w:p>
    <w:p w14:paraId="594AACEB" w14:textId="77777777" w:rsidR="00FD627C" w:rsidRPr="00690776" w:rsidRDefault="00FD627C" w:rsidP="001B057E">
      <w:pPr>
        <w:autoSpaceDE w:val="0"/>
        <w:autoSpaceDN w:val="0"/>
        <w:adjustRightInd w:val="0"/>
        <w:spacing w:after="0" w:line="240" w:lineRule="auto"/>
        <w:rPr>
          <w:lang w:val="it-IT"/>
        </w:rPr>
      </w:pPr>
    </w:p>
    <w:p w14:paraId="20D8900F" w14:textId="77777777" w:rsidR="001B057E" w:rsidRPr="00690776" w:rsidRDefault="001B057E" w:rsidP="001B057E">
      <w:r w:rsidRPr="00690776">
        <w:t xml:space="preserve">Deleuze, G. 2007, </w:t>
      </w:r>
      <w:r w:rsidRPr="00690776">
        <w:rPr>
          <w:i/>
        </w:rPr>
        <w:t>Pintura. El concepto de diagrama</w:t>
      </w:r>
      <w:r w:rsidRPr="00690776">
        <w:t xml:space="preserve">. B. Aires, Cactus (curso de Deleuze de 1981) </w:t>
      </w:r>
    </w:p>
    <w:p w14:paraId="2F1B5D60" w14:textId="77777777" w:rsidR="001B057E" w:rsidRPr="00690776" w:rsidRDefault="001B057E" w:rsidP="001B057E">
      <w:pPr>
        <w:rPr>
          <w:lang w:val="fr-FR"/>
        </w:rPr>
      </w:pPr>
      <w:r w:rsidRPr="00690776">
        <w:rPr>
          <w:lang w:val="fr-FR"/>
        </w:rPr>
        <w:t xml:space="preserve">Descombes, V. 1996, </w:t>
      </w:r>
      <w:r w:rsidRPr="00690776">
        <w:rPr>
          <w:i/>
          <w:lang w:val="fr-FR"/>
        </w:rPr>
        <w:t>Les institutions du sens</w:t>
      </w:r>
      <w:r w:rsidRPr="00690776">
        <w:rPr>
          <w:lang w:val="fr-FR"/>
        </w:rPr>
        <w:t xml:space="preserve">, </w:t>
      </w:r>
      <w:r w:rsidR="002760D1" w:rsidRPr="00690776">
        <w:rPr>
          <w:lang w:val="fr-FR"/>
        </w:rPr>
        <w:t>Paris, Minuit.</w:t>
      </w:r>
    </w:p>
    <w:p w14:paraId="47DA021E" w14:textId="77777777" w:rsidR="001B057E" w:rsidRPr="00690776" w:rsidRDefault="001B057E" w:rsidP="000D6CFA">
      <w:r w:rsidRPr="00690776">
        <w:rPr>
          <w:lang w:val="it-IT"/>
        </w:rPr>
        <w:t xml:space="preserve">Eco, </w:t>
      </w:r>
      <w:r w:rsidR="000D6CFA" w:rsidRPr="00690776">
        <w:rPr>
          <w:lang w:val="it-IT"/>
        </w:rPr>
        <w:t xml:space="preserve">U. 1975, </w:t>
      </w:r>
      <w:r w:rsidR="000D6CFA" w:rsidRPr="00690776">
        <w:rPr>
          <w:i/>
          <w:iCs/>
          <w:lang w:val="it-IT"/>
        </w:rPr>
        <w:t>Trattato di semiotica generale</w:t>
      </w:r>
      <w:r w:rsidR="000D6CFA" w:rsidRPr="00690776">
        <w:rPr>
          <w:lang w:val="it-IT"/>
        </w:rPr>
        <w:t xml:space="preserve">. </w:t>
      </w:r>
      <w:r w:rsidR="000D6CFA" w:rsidRPr="00690776">
        <w:t>Milano, Bompiani (las referencias están tomadas de la traducción española, Barcelona, Lumen, 2000, 5ª ed.)</w:t>
      </w:r>
    </w:p>
    <w:p w14:paraId="1190155D" w14:textId="77777777" w:rsidR="001B057E" w:rsidRPr="00690776" w:rsidRDefault="001B057E" w:rsidP="001B057E">
      <w:pPr>
        <w:rPr>
          <w:lang w:val="it-IT"/>
        </w:rPr>
      </w:pPr>
      <w:r w:rsidRPr="00690776">
        <w:rPr>
          <w:lang w:val="it-IT"/>
        </w:rPr>
        <w:t xml:space="preserve">Eco, U. 1984, </w:t>
      </w:r>
      <w:r w:rsidR="00CA40E6" w:rsidRPr="00690776">
        <w:rPr>
          <w:i/>
          <w:iCs/>
          <w:lang w:val="it-IT"/>
        </w:rPr>
        <w:t>Semiotica e filosofia del linguaggio</w:t>
      </w:r>
      <w:r w:rsidR="000D6CFA" w:rsidRPr="00690776">
        <w:rPr>
          <w:i/>
          <w:iCs/>
          <w:lang w:val="it-IT"/>
        </w:rPr>
        <w:t xml:space="preserve">, </w:t>
      </w:r>
      <w:r w:rsidR="000D6CFA" w:rsidRPr="00690776">
        <w:rPr>
          <w:lang w:val="it-IT"/>
        </w:rPr>
        <w:t>Torino, Einaudi</w:t>
      </w:r>
      <w:r w:rsidR="000D6CFA" w:rsidRPr="00690776">
        <w:rPr>
          <w:i/>
          <w:iCs/>
          <w:lang w:val="it-IT"/>
        </w:rPr>
        <w:t>.</w:t>
      </w:r>
    </w:p>
    <w:p w14:paraId="5F9049CE" w14:textId="77777777" w:rsidR="001B057E" w:rsidRPr="00690776" w:rsidRDefault="001B057E" w:rsidP="001B057E">
      <w:pPr>
        <w:rPr>
          <w:lang w:val="it-IT"/>
        </w:rPr>
      </w:pPr>
      <w:r w:rsidRPr="00690776">
        <w:rPr>
          <w:lang w:val="it-IT"/>
        </w:rPr>
        <w:t xml:space="preserve">Fabbri, P. y Marrone, G. 2001, “Presentazione”, </w:t>
      </w:r>
      <w:r w:rsidRPr="00690776">
        <w:rPr>
          <w:i/>
          <w:iCs/>
          <w:lang w:val="it-IT"/>
        </w:rPr>
        <w:t>Semiotica in nuce II</w:t>
      </w:r>
      <w:r w:rsidRPr="00690776">
        <w:rPr>
          <w:lang w:val="it-IT"/>
        </w:rPr>
        <w:t>, Roma, Meltemi</w:t>
      </w:r>
    </w:p>
    <w:p w14:paraId="3D6C4671" w14:textId="77777777" w:rsidR="001B057E" w:rsidRPr="00690776" w:rsidRDefault="001B057E" w:rsidP="001B057E">
      <w:pPr>
        <w:autoSpaceDE w:val="0"/>
        <w:autoSpaceDN w:val="0"/>
        <w:adjustRightInd w:val="0"/>
        <w:spacing w:after="0" w:line="240" w:lineRule="auto"/>
        <w:rPr>
          <w:lang w:val="fr-FR"/>
        </w:rPr>
      </w:pPr>
      <w:r w:rsidRPr="00690776">
        <w:rPr>
          <w:lang w:val="fr-FR"/>
        </w:rPr>
        <w:t xml:space="preserve">Fontanille, </w:t>
      </w:r>
      <w:r w:rsidR="00C72104" w:rsidRPr="00690776">
        <w:rPr>
          <w:lang w:val="fr-FR"/>
        </w:rPr>
        <w:t xml:space="preserve">J. </w:t>
      </w:r>
      <w:r w:rsidR="002760D1" w:rsidRPr="00690776">
        <w:rPr>
          <w:lang w:val="fr-FR"/>
        </w:rPr>
        <w:t xml:space="preserve">1998, </w:t>
      </w:r>
      <w:r w:rsidRPr="00690776">
        <w:rPr>
          <w:i/>
          <w:lang w:val="fr-FR"/>
        </w:rPr>
        <w:t>Semiotique du discours</w:t>
      </w:r>
      <w:r w:rsidRPr="00690776">
        <w:rPr>
          <w:lang w:val="fr-FR"/>
        </w:rPr>
        <w:t>. Presses Universtaires de Limoges PULIM</w:t>
      </w:r>
    </w:p>
    <w:p w14:paraId="7DD73863" w14:textId="77777777" w:rsidR="00C72104" w:rsidRPr="00690776" w:rsidRDefault="00C72104" w:rsidP="001B057E">
      <w:pPr>
        <w:autoSpaceDE w:val="0"/>
        <w:autoSpaceDN w:val="0"/>
        <w:adjustRightInd w:val="0"/>
        <w:spacing w:after="0" w:line="240" w:lineRule="auto"/>
        <w:rPr>
          <w:lang w:val="fr-FR"/>
        </w:rPr>
      </w:pPr>
    </w:p>
    <w:p w14:paraId="449B17EA" w14:textId="77777777" w:rsidR="002760D1" w:rsidRPr="00690776" w:rsidRDefault="00C72104" w:rsidP="002760D1">
      <w:pPr>
        <w:autoSpaceDE w:val="0"/>
        <w:autoSpaceDN w:val="0"/>
        <w:adjustRightInd w:val="0"/>
        <w:spacing w:after="0" w:line="240" w:lineRule="auto"/>
        <w:rPr>
          <w:lang w:val="fr-FR"/>
        </w:rPr>
      </w:pPr>
      <w:r w:rsidRPr="00690776">
        <w:rPr>
          <w:lang w:val="fr-FR"/>
        </w:rPr>
        <w:t>Fo</w:t>
      </w:r>
      <w:r w:rsidR="002760D1" w:rsidRPr="00690776">
        <w:rPr>
          <w:lang w:val="fr-FR"/>
        </w:rPr>
        <w:t>ntanille, J. 2015,</w:t>
      </w:r>
      <w:r w:rsidRPr="00690776">
        <w:rPr>
          <w:lang w:val="fr-FR"/>
        </w:rPr>
        <w:t xml:space="preserve"> </w:t>
      </w:r>
      <w:r w:rsidR="002760D1" w:rsidRPr="00690776">
        <w:rPr>
          <w:lang w:val="fr-FR"/>
        </w:rPr>
        <w:t>“La sémiotique face aux grands défis sociétaux du XXI</w:t>
      </w:r>
      <w:r w:rsidR="002760D1" w:rsidRPr="00690776">
        <w:rPr>
          <w:vertAlign w:val="superscript"/>
          <w:lang w:val="fr-FR"/>
        </w:rPr>
        <w:t> e</w:t>
      </w:r>
      <w:r w:rsidR="002760D1" w:rsidRPr="00690776">
        <w:rPr>
          <w:lang w:val="fr-FR"/>
        </w:rPr>
        <w:t xml:space="preserve"> siècle”,  </w:t>
      </w:r>
      <w:r w:rsidR="002760D1" w:rsidRPr="00690776">
        <w:rPr>
          <w:i/>
          <w:lang w:val="fr-FR"/>
        </w:rPr>
        <w:t>Actes</w:t>
      </w:r>
      <w:r w:rsidR="002760D1" w:rsidRPr="00690776">
        <w:rPr>
          <w:lang w:val="fr-FR"/>
        </w:rPr>
        <w:t xml:space="preserve"> </w:t>
      </w:r>
      <w:r w:rsidR="002760D1" w:rsidRPr="00690776">
        <w:rPr>
          <w:i/>
          <w:lang w:val="fr-FR"/>
        </w:rPr>
        <w:t>sé</w:t>
      </w:r>
      <w:r w:rsidRPr="00690776">
        <w:rPr>
          <w:i/>
          <w:lang w:val="fr-FR"/>
        </w:rPr>
        <w:t>miotiques</w:t>
      </w:r>
      <w:r w:rsidR="002760D1" w:rsidRPr="00690776">
        <w:rPr>
          <w:lang w:val="fr-FR"/>
        </w:rPr>
        <w:t>, 118.&lt;http://epublications.unilim.fr/revues/as/5320&gt; (consult</w:t>
      </w:r>
      <w:r w:rsidR="008547C7">
        <w:rPr>
          <w:lang w:val="fr-FR"/>
        </w:rPr>
        <w:t>ado</w:t>
      </w:r>
      <w:r w:rsidR="002760D1" w:rsidRPr="00690776">
        <w:rPr>
          <w:lang w:val="fr-FR"/>
        </w:rPr>
        <w:t xml:space="preserve"> 03/06/2015</w:t>
      </w:r>
      <w:r w:rsidR="008547C7">
        <w:rPr>
          <w:lang w:val="fr-FR"/>
        </w:rPr>
        <w:t>)</w:t>
      </w:r>
    </w:p>
    <w:p w14:paraId="0CF13FDB" w14:textId="77777777" w:rsidR="002760D1" w:rsidRPr="00690776" w:rsidRDefault="002760D1" w:rsidP="001B057E">
      <w:pPr>
        <w:autoSpaceDE w:val="0"/>
        <w:autoSpaceDN w:val="0"/>
        <w:adjustRightInd w:val="0"/>
        <w:spacing w:after="0" w:line="240" w:lineRule="auto"/>
        <w:rPr>
          <w:lang w:val="fr-FR"/>
        </w:rPr>
      </w:pPr>
    </w:p>
    <w:p w14:paraId="1E2B71DA" w14:textId="77777777" w:rsidR="001B057E" w:rsidRPr="00690776" w:rsidRDefault="001B057E" w:rsidP="001B057E">
      <w:pPr>
        <w:autoSpaceDE w:val="0"/>
        <w:autoSpaceDN w:val="0"/>
        <w:adjustRightInd w:val="0"/>
        <w:spacing w:after="0" w:line="240" w:lineRule="auto"/>
        <w:rPr>
          <w:lang w:val="fr-FR"/>
        </w:rPr>
      </w:pPr>
      <w:r w:rsidRPr="00690776">
        <w:rPr>
          <w:lang w:val="fr-FR"/>
        </w:rPr>
        <w:t xml:space="preserve">Greimas, A. J. 1976, </w:t>
      </w:r>
      <w:r w:rsidRPr="00690776">
        <w:rPr>
          <w:i/>
          <w:lang w:val="fr-FR"/>
        </w:rPr>
        <w:t>Sémiotique et sciences sociales</w:t>
      </w:r>
      <w:r w:rsidR="002760D1" w:rsidRPr="00690776">
        <w:rPr>
          <w:lang w:val="fr-FR"/>
        </w:rPr>
        <w:t>, Paris, Seuil.</w:t>
      </w:r>
      <w:r w:rsidRPr="00690776">
        <w:rPr>
          <w:lang w:val="fr-FR"/>
        </w:rPr>
        <w:t xml:space="preserve"> </w:t>
      </w:r>
    </w:p>
    <w:p w14:paraId="03BB8201" w14:textId="77777777" w:rsidR="001B057E" w:rsidRPr="00690776" w:rsidRDefault="001B057E" w:rsidP="001B057E">
      <w:pPr>
        <w:autoSpaceDE w:val="0"/>
        <w:autoSpaceDN w:val="0"/>
        <w:adjustRightInd w:val="0"/>
        <w:spacing w:after="0" w:line="240" w:lineRule="auto"/>
        <w:rPr>
          <w:lang w:val="fr-FR"/>
        </w:rPr>
      </w:pPr>
    </w:p>
    <w:p w14:paraId="4B77109E" w14:textId="77777777" w:rsidR="001B057E" w:rsidRPr="00690776" w:rsidRDefault="001B057E" w:rsidP="000D6CFA">
      <w:pPr>
        <w:autoSpaceDE w:val="0"/>
        <w:autoSpaceDN w:val="0"/>
        <w:adjustRightInd w:val="0"/>
        <w:spacing w:after="0" w:line="240" w:lineRule="auto"/>
      </w:pPr>
      <w:r w:rsidRPr="00690776">
        <w:t>Landowski</w:t>
      </w:r>
      <w:r w:rsidR="00981021" w:rsidRPr="00690776">
        <w:t>, E.</w:t>
      </w:r>
      <w:r w:rsidRPr="00690776">
        <w:t xml:space="preserve"> 2012 </w:t>
      </w:r>
      <w:r w:rsidR="00981021" w:rsidRPr="00690776">
        <w:t>“</w:t>
      </w:r>
      <w:r w:rsidRPr="00690776">
        <w:t>¿Habría que rehacer la semiótica?</w:t>
      </w:r>
      <w:r w:rsidR="00981021" w:rsidRPr="00690776">
        <w:t>”</w:t>
      </w:r>
      <w:r w:rsidRPr="00690776">
        <w:t xml:space="preserve">, </w:t>
      </w:r>
      <w:r w:rsidRPr="00690776">
        <w:rPr>
          <w:i/>
          <w:iCs/>
        </w:rPr>
        <w:t>Contratexto</w:t>
      </w:r>
      <w:r w:rsidRPr="00690776">
        <w:t xml:space="preserve"> </w:t>
      </w:r>
      <w:r w:rsidR="000D6CFA" w:rsidRPr="00690776">
        <w:t>20.</w:t>
      </w:r>
    </w:p>
    <w:p w14:paraId="31C55657" w14:textId="77777777" w:rsidR="00691B7B" w:rsidRPr="00690776" w:rsidRDefault="00691B7B" w:rsidP="000D6CFA">
      <w:pPr>
        <w:autoSpaceDE w:val="0"/>
        <w:autoSpaceDN w:val="0"/>
        <w:adjustRightInd w:val="0"/>
        <w:spacing w:after="0" w:line="240" w:lineRule="auto"/>
      </w:pPr>
    </w:p>
    <w:p w14:paraId="7A8E1261" w14:textId="77777777" w:rsidR="00691B7B" w:rsidRPr="00690776" w:rsidRDefault="00691B7B" w:rsidP="0090766D">
      <w:pPr>
        <w:autoSpaceDE w:val="0"/>
        <w:autoSpaceDN w:val="0"/>
        <w:adjustRightInd w:val="0"/>
        <w:spacing w:after="0" w:line="240" w:lineRule="auto"/>
      </w:pPr>
      <w:r w:rsidRPr="00690776">
        <w:t>Lotman, J. 1996</w:t>
      </w:r>
      <w:r w:rsidR="0090766D" w:rsidRPr="00690776">
        <w:t xml:space="preserve">, </w:t>
      </w:r>
      <w:r w:rsidR="0090766D" w:rsidRPr="00690776">
        <w:rPr>
          <w:i/>
          <w:iCs/>
        </w:rPr>
        <w:t xml:space="preserve">La semiosfera </w:t>
      </w:r>
      <w:r w:rsidR="0090766D" w:rsidRPr="00690776">
        <w:t xml:space="preserve">I. </w:t>
      </w:r>
      <w:r w:rsidR="0090766D" w:rsidRPr="00690776">
        <w:rPr>
          <w:i/>
          <w:iCs/>
        </w:rPr>
        <w:t xml:space="preserve">Semiótica de la cultura y del texto, </w:t>
      </w:r>
      <w:r w:rsidR="0090766D" w:rsidRPr="00690776">
        <w:rPr>
          <w:iCs/>
        </w:rPr>
        <w:t>Madrid, Cátedra</w:t>
      </w:r>
    </w:p>
    <w:p w14:paraId="37641E15" w14:textId="77777777" w:rsidR="001B057E" w:rsidRPr="00690776" w:rsidRDefault="001B057E" w:rsidP="001B057E">
      <w:pPr>
        <w:autoSpaceDE w:val="0"/>
        <w:autoSpaceDN w:val="0"/>
        <w:adjustRightInd w:val="0"/>
        <w:spacing w:after="0" w:line="240" w:lineRule="auto"/>
      </w:pPr>
    </w:p>
    <w:p w14:paraId="16E2D570" w14:textId="77777777" w:rsidR="001B057E" w:rsidRDefault="001B057E" w:rsidP="001B057E">
      <w:pPr>
        <w:rPr>
          <w:lang w:val="fr-FR"/>
        </w:rPr>
      </w:pPr>
      <w:r w:rsidRPr="00690776">
        <w:rPr>
          <w:lang w:val="fr-FR"/>
        </w:rPr>
        <w:t xml:space="preserve">Meyer, M. 1993, </w:t>
      </w:r>
      <w:r w:rsidRPr="00690776">
        <w:rPr>
          <w:i/>
          <w:iCs/>
          <w:lang w:val="fr-FR"/>
        </w:rPr>
        <w:t>Questions de rhétorique: langage, raison et séduction</w:t>
      </w:r>
      <w:r w:rsidRPr="00690776">
        <w:rPr>
          <w:lang w:val="fr-FR"/>
        </w:rPr>
        <w:t>, Paris, Librairie Générale Française.</w:t>
      </w:r>
    </w:p>
    <w:p w14:paraId="1722D9F2" w14:textId="77777777" w:rsidR="008547C7" w:rsidRPr="008547C7" w:rsidRDefault="008547C7" w:rsidP="001B057E">
      <w:pPr>
        <w:rPr>
          <w:lang w:val="it-IT"/>
        </w:rPr>
      </w:pPr>
      <w:r w:rsidRPr="008547C7">
        <w:rPr>
          <w:lang w:val="it-IT"/>
        </w:rPr>
        <w:lastRenderedPageBreak/>
        <w:t xml:space="preserve">Paolucci, C. 2010, </w:t>
      </w:r>
      <w:r w:rsidRPr="008547C7">
        <w:rPr>
          <w:i/>
          <w:lang w:val="it-IT"/>
        </w:rPr>
        <w:t>Strutturalismo e interpretazione</w:t>
      </w:r>
      <w:r w:rsidRPr="008547C7">
        <w:rPr>
          <w:lang w:val="it-IT"/>
        </w:rPr>
        <w:t xml:space="preserve">. </w:t>
      </w:r>
      <w:r>
        <w:rPr>
          <w:lang w:val="it-IT"/>
        </w:rPr>
        <w:t>Milano, Bompiani.</w:t>
      </w:r>
    </w:p>
    <w:p w14:paraId="2F0FCB7E" w14:textId="77777777" w:rsidR="00B33CD9" w:rsidRPr="00690776" w:rsidRDefault="00B33CD9" w:rsidP="00B33CD9">
      <w:pPr>
        <w:rPr>
          <w:lang w:val="en-US"/>
        </w:rPr>
      </w:pPr>
      <w:r w:rsidRPr="00B90A1D">
        <w:rPr>
          <w:lang w:val="it-IT"/>
        </w:rPr>
        <w:t xml:space="preserve">Peirce, C. S. 1994, C.P.  </w:t>
      </w:r>
      <w:r w:rsidRPr="00690776">
        <w:rPr>
          <w:i/>
          <w:iCs/>
          <w:lang w:val="en-US"/>
        </w:rPr>
        <w:t>The Collected Papers of Charles Sanders Peirce</w:t>
      </w:r>
      <w:r w:rsidRPr="00690776">
        <w:rPr>
          <w:lang w:val="en-US"/>
        </w:rPr>
        <w:t>, vols. I-VIII, Electronic Edition</w:t>
      </w:r>
    </w:p>
    <w:p w14:paraId="0BFE6B8E" w14:textId="77777777" w:rsidR="00BD404A" w:rsidRPr="00690776" w:rsidRDefault="004D0980" w:rsidP="00BD404A">
      <w:pPr>
        <w:rPr>
          <w:i/>
          <w:lang w:val="en-US"/>
        </w:rPr>
      </w:pPr>
      <w:r w:rsidRPr="00690776">
        <w:rPr>
          <w:lang w:val="en-US"/>
        </w:rPr>
        <w:t xml:space="preserve">Peñamarín, C. 2011, “Dialog between meaning systems in intermedial texts”, </w:t>
      </w:r>
      <w:r w:rsidRPr="00690776">
        <w:rPr>
          <w:i/>
          <w:lang w:val="en-US"/>
        </w:rPr>
        <w:t xml:space="preserve">CLCWeb: Comparative Literature and Culture 13.3 </w:t>
      </w:r>
    </w:p>
    <w:p w14:paraId="3A70E4B4" w14:textId="77777777" w:rsidR="00BD404A" w:rsidRPr="00690776" w:rsidRDefault="00BD404A" w:rsidP="00BD404A">
      <w:pPr>
        <w:rPr>
          <w:i/>
        </w:rPr>
      </w:pPr>
      <w:r w:rsidRPr="00690776">
        <w:t>Pozzato, M. P. 1995, "El "rosa" corno función antropológica y como género</w:t>
      </w:r>
      <w:r w:rsidRPr="00690776">
        <w:rPr>
          <w:i/>
        </w:rPr>
        <w:t xml:space="preserve"> </w:t>
      </w:r>
      <w:r w:rsidRPr="00690776">
        <w:t xml:space="preserve">multimedia", en Peñamarín, C. y López, P. (eds.), </w:t>
      </w:r>
      <w:r w:rsidRPr="00690776">
        <w:rPr>
          <w:i/>
          <w:iCs/>
        </w:rPr>
        <w:t>Los melodramas televisivos y la cultura</w:t>
      </w:r>
      <w:r w:rsidRPr="00690776">
        <w:rPr>
          <w:i/>
        </w:rPr>
        <w:t xml:space="preserve"> </w:t>
      </w:r>
      <w:r w:rsidRPr="00690776">
        <w:rPr>
          <w:i/>
          <w:iCs/>
        </w:rPr>
        <w:t xml:space="preserve">sentimental. </w:t>
      </w:r>
      <w:r w:rsidRPr="00690776">
        <w:t>Comunidad de Madrid-I.I.F., Universidad Complutense de Madrid.</w:t>
      </w:r>
    </w:p>
    <w:p w14:paraId="1802971F" w14:textId="77777777" w:rsidR="00F16E0D" w:rsidRPr="00690776" w:rsidRDefault="00F16E0D" w:rsidP="00F16E0D">
      <w:pPr>
        <w:autoSpaceDE w:val="0"/>
        <w:autoSpaceDN w:val="0"/>
        <w:adjustRightInd w:val="0"/>
        <w:spacing w:after="0" w:line="240" w:lineRule="auto"/>
        <w:rPr>
          <w:lang w:val="it-IT"/>
        </w:rPr>
      </w:pPr>
      <w:r w:rsidRPr="00690776">
        <w:rPr>
          <w:lang w:val="fr-FR"/>
        </w:rPr>
        <w:t xml:space="preserve">Rastier, F. 2002, “Avant-propos. Pluridisciplinarité et sciences de la culture”, en Rastier, F. y Bouquet, S. </w:t>
      </w:r>
      <w:r w:rsidRPr="00690776">
        <w:rPr>
          <w:i/>
          <w:iCs/>
          <w:lang w:val="fr-FR"/>
        </w:rPr>
        <w:t>Une introduction aux sciences de la culture</w:t>
      </w:r>
      <w:r w:rsidRPr="00690776">
        <w:rPr>
          <w:lang w:val="fr-FR"/>
        </w:rPr>
        <w:t xml:space="preserve">. </w:t>
      </w:r>
      <w:r w:rsidRPr="00690776">
        <w:rPr>
          <w:lang w:val="it-IT"/>
        </w:rPr>
        <w:t>Paris, PUF.</w:t>
      </w:r>
    </w:p>
    <w:p w14:paraId="366C4FE9" w14:textId="77777777" w:rsidR="001B057E" w:rsidRPr="00690776" w:rsidRDefault="001B057E" w:rsidP="001B057E">
      <w:pPr>
        <w:autoSpaceDE w:val="0"/>
        <w:autoSpaceDN w:val="0"/>
        <w:adjustRightInd w:val="0"/>
        <w:spacing w:after="0" w:line="240" w:lineRule="auto"/>
        <w:rPr>
          <w:lang w:val="it-IT"/>
        </w:rPr>
      </w:pPr>
    </w:p>
    <w:p w14:paraId="74427AB4" w14:textId="77777777" w:rsidR="001B057E" w:rsidRPr="00690776" w:rsidRDefault="001B057E" w:rsidP="001B057E">
      <w:pPr>
        <w:autoSpaceDE w:val="0"/>
        <w:autoSpaceDN w:val="0"/>
        <w:adjustRightInd w:val="0"/>
        <w:spacing w:after="0" w:line="240" w:lineRule="auto"/>
        <w:rPr>
          <w:lang w:val="it-IT"/>
        </w:rPr>
      </w:pPr>
      <w:r w:rsidRPr="00690776">
        <w:rPr>
          <w:lang w:val="it-IT"/>
        </w:rPr>
        <w:t xml:space="preserve">Rastier, F. 2007, “Semantica interpretativa. Dalle forme semantiche alla testualità”, in Paolucci, C. dir, </w:t>
      </w:r>
      <w:r w:rsidRPr="00690776">
        <w:rPr>
          <w:i/>
          <w:lang w:val="it-IT"/>
        </w:rPr>
        <w:t>Studi di semiotica interpretativa</w:t>
      </w:r>
      <w:r w:rsidRPr="00690776">
        <w:rPr>
          <w:lang w:val="it-IT"/>
        </w:rPr>
        <w:t>, Milano, Bompiani</w:t>
      </w:r>
    </w:p>
    <w:p w14:paraId="356A3C29" w14:textId="77777777" w:rsidR="000F2335" w:rsidRPr="00690776" w:rsidRDefault="000F2335" w:rsidP="001B057E">
      <w:pPr>
        <w:autoSpaceDE w:val="0"/>
        <w:autoSpaceDN w:val="0"/>
        <w:adjustRightInd w:val="0"/>
        <w:spacing w:after="0" w:line="240" w:lineRule="auto"/>
        <w:rPr>
          <w:lang w:val="it-IT"/>
        </w:rPr>
      </w:pPr>
    </w:p>
    <w:p w14:paraId="4792B29B" w14:textId="77777777" w:rsidR="000F2335" w:rsidRPr="00690776" w:rsidRDefault="000F2335" w:rsidP="000F2335">
      <w:pPr>
        <w:autoSpaceDE w:val="0"/>
        <w:autoSpaceDN w:val="0"/>
        <w:adjustRightInd w:val="0"/>
        <w:spacing w:after="0" w:line="240" w:lineRule="auto"/>
        <w:rPr>
          <w:rFonts w:ascii="Calibri" w:eastAsia="Calibri" w:hAnsi="Calibri" w:cs="Arial"/>
          <w:i/>
          <w:iCs/>
          <w:lang w:val="en-US"/>
        </w:rPr>
      </w:pPr>
      <w:r w:rsidRPr="00690776">
        <w:rPr>
          <w:lang w:val="en-US"/>
        </w:rPr>
        <w:t>Sbisà, M. y Fabbri, P. 1980, “</w:t>
      </w:r>
      <w:r w:rsidRPr="00690776">
        <w:rPr>
          <w:rFonts w:ascii="Calibri" w:eastAsia="Calibri" w:hAnsi="Calibri" w:cs="Arial"/>
          <w:lang w:val="en-US"/>
        </w:rPr>
        <w:t>Models (?) for a pragmatic analysis</w:t>
      </w:r>
      <w:r w:rsidRPr="00690776">
        <w:rPr>
          <w:lang w:val="en-US"/>
        </w:rPr>
        <w:t xml:space="preserve">”, </w:t>
      </w:r>
      <w:r w:rsidRPr="00690776">
        <w:rPr>
          <w:rFonts w:ascii="Calibri" w:eastAsia="Calibri" w:hAnsi="Calibri" w:cs="Arial"/>
          <w:i/>
          <w:iCs/>
          <w:lang w:val="en-US"/>
        </w:rPr>
        <w:t>Journal of pragmatics</w:t>
      </w:r>
      <w:r w:rsidRPr="00690776">
        <w:rPr>
          <w:rFonts w:ascii="Calibri" w:eastAsia="Calibri" w:hAnsi="Calibri" w:cs="Arial"/>
          <w:lang w:val="en-US"/>
        </w:rPr>
        <w:t xml:space="preserve">, 4 </w:t>
      </w:r>
    </w:p>
    <w:p w14:paraId="61DAC99C" w14:textId="77777777" w:rsidR="000F2335" w:rsidRPr="00690776" w:rsidRDefault="000F2335" w:rsidP="000F2335">
      <w:pPr>
        <w:autoSpaceDE w:val="0"/>
        <w:autoSpaceDN w:val="0"/>
        <w:adjustRightInd w:val="0"/>
        <w:spacing w:after="0" w:line="240" w:lineRule="auto"/>
        <w:rPr>
          <w:lang w:val="en-US"/>
        </w:rPr>
      </w:pPr>
    </w:p>
    <w:p w14:paraId="217555B1" w14:textId="77777777" w:rsidR="00981021" w:rsidRDefault="00981021" w:rsidP="00981021">
      <w:pPr>
        <w:autoSpaceDE w:val="0"/>
        <w:autoSpaceDN w:val="0"/>
        <w:adjustRightInd w:val="0"/>
        <w:spacing w:after="0" w:line="240" w:lineRule="auto"/>
        <w:rPr>
          <w:lang w:val="it-IT"/>
        </w:rPr>
      </w:pPr>
      <w:r w:rsidRPr="00690776">
        <w:rPr>
          <w:lang w:val="it-IT"/>
        </w:rPr>
        <w:t xml:space="preserve">Violi, P. </w:t>
      </w:r>
      <w:r w:rsidR="003F7EBE">
        <w:rPr>
          <w:lang w:val="it-IT"/>
        </w:rPr>
        <w:t xml:space="preserve">2007, </w:t>
      </w:r>
      <w:r w:rsidRPr="00690776">
        <w:rPr>
          <w:lang w:val="it-IT"/>
        </w:rPr>
        <w:t xml:space="preserve">“Lo spazio del soggetto nell’enciclopedia”, in Paolucci, C. dir, </w:t>
      </w:r>
      <w:r w:rsidRPr="00690776">
        <w:rPr>
          <w:i/>
          <w:lang w:val="it-IT"/>
        </w:rPr>
        <w:t>Studi di semiotica interpretativa</w:t>
      </w:r>
      <w:r w:rsidRPr="00690776">
        <w:rPr>
          <w:lang w:val="it-IT"/>
        </w:rPr>
        <w:t>, Milano, Bompiani</w:t>
      </w:r>
    </w:p>
    <w:p w14:paraId="2D652FFC" w14:textId="77777777" w:rsidR="00981021" w:rsidRDefault="00981021" w:rsidP="001B057E">
      <w:pPr>
        <w:autoSpaceDE w:val="0"/>
        <w:autoSpaceDN w:val="0"/>
        <w:adjustRightInd w:val="0"/>
        <w:spacing w:after="0" w:line="240" w:lineRule="auto"/>
        <w:rPr>
          <w:lang w:val="it-IT"/>
        </w:rPr>
      </w:pPr>
    </w:p>
    <w:p w14:paraId="1DEE915E" w14:textId="77777777" w:rsidR="001B057E" w:rsidRDefault="001B057E" w:rsidP="001B057E">
      <w:pPr>
        <w:autoSpaceDE w:val="0"/>
        <w:autoSpaceDN w:val="0"/>
        <w:adjustRightInd w:val="0"/>
        <w:spacing w:after="0" w:line="240" w:lineRule="auto"/>
        <w:rPr>
          <w:lang w:val="it-IT"/>
        </w:rPr>
      </w:pPr>
    </w:p>
    <w:p w14:paraId="644B8D2D" w14:textId="77777777" w:rsidR="00280D22" w:rsidRPr="00977B60" w:rsidRDefault="00280D22" w:rsidP="00CA309D">
      <w:pPr>
        <w:rPr>
          <w:bCs/>
          <w:lang w:val="it-IT"/>
        </w:rPr>
      </w:pPr>
    </w:p>
    <w:p w14:paraId="4173E2DF" w14:textId="77777777" w:rsidR="00280D22" w:rsidRPr="00977B60" w:rsidRDefault="00280D22" w:rsidP="00CA309D">
      <w:pPr>
        <w:rPr>
          <w:bCs/>
          <w:lang w:val="it-IT"/>
        </w:rPr>
      </w:pPr>
    </w:p>
    <w:p w14:paraId="15D35197" w14:textId="77777777" w:rsidR="00280D22" w:rsidRPr="00977B60" w:rsidRDefault="00280D22" w:rsidP="00CA309D">
      <w:pPr>
        <w:rPr>
          <w:bCs/>
          <w:lang w:val="it-IT"/>
        </w:rPr>
      </w:pPr>
    </w:p>
    <w:p w14:paraId="66EDD9C1" w14:textId="77777777" w:rsidR="00280D22" w:rsidRPr="00977B60" w:rsidRDefault="00280D22" w:rsidP="00CA309D">
      <w:pPr>
        <w:rPr>
          <w:bCs/>
          <w:lang w:val="it-IT"/>
        </w:rPr>
      </w:pPr>
    </w:p>
    <w:p w14:paraId="4DC7C164" w14:textId="77777777" w:rsidR="00280D22" w:rsidRPr="00977B60" w:rsidRDefault="00280D22" w:rsidP="00CA309D">
      <w:pPr>
        <w:rPr>
          <w:bCs/>
          <w:lang w:val="it-IT"/>
        </w:rPr>
      </w:pPr>
    </w:p>
    <w:p w14:paraId="0352F1F9" w14:textId="77777777" w:rsidR="00280D22" w:rsidRPr="00977B60" w:rsidRDefault="00280D22" w:rsidP="00CA309D">
      <w:pPr>
        <w:rPr>
          <w:bCs/>
          <w:lang w:val="it-IT"/>
        </w:rPr>
      </w:pPr>
    </w:p>
    <w:p w14:paraId="20198C5D" w14:textId="77777777" w:rsidR="00280D22" w:rsidRPr="00977B60" w:rsidRDefault="00280D22" w:rsidP="00CA309D">
      <w:pPr>
        <w:rPr>
          <w:bCs/>
          <w:lang w:val="it-IT"/>
        </w:rPr>
      </w:pPr>
    </w:p>
    <w:p w14:paraId="0F2A9A64" w14:textId="77777777" w:rsidR="00280D22" w:rsidRPr="00977B60" w:rsidRDefault="00280D22" w:rsidP="00CA309D">
      <w:pPr>
        <w:rPr>
          <w:bCs/>
          <w:lang w:val="it-IT"/>
        </w:rPr>
      </w:pPr>
    </w:p>
    <w:p w14:paraId="7071A732" w14:textId="77777777" w:rsidR="00280D22" w:rsidRPr="00977B60" w:rsidRDefault="00280D22" w:rsidP="00CA309D">
      <w:pPr>
        <w:rPr>
          <w:bCs/>
          <w:lang w:val="it-IT"/>
        </w:rPr>
      </w:pPr>
    </w:p>
    <w:p w14:paraId="53282432" w14:textId="77777777" w:rsidR="00B72C37" w:rsidRPr="00977B60" w:rsidRDefault="00B72C37" w:rsidP="009B60A5">
      <w:pPr>
        <w:rPr>
          <w:bCs/>
          <w:lang w:val="it-IT"/>
        </w:rPr>
      </w:pPr>
    </w:p>
    <w:sectPr w:rsidR="00B72C37" w:rsidRPr="00977B60" w:rsidSect="002E7572">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2C156B" w14:textId="77777777" w:rsidR="00551EDD" w:rsidRDefault="00551EDD" w:rsidP="00A35B84">
      <w:pPr>
        <w:spacing w:after="0" w:line="240" w:lineRule="auto"/>
      </w:pPr>
      <w:r>
        <w:separator/>
      </w:r>
    </w:p>
  </w:endnote>
  <w:endnote w:type="continuationSeparator" w:id="0">
    <w:p w14:paraId="44E14322" w14:textId="77777777" w:rsidR="00551EDD" w:rsidRDefault="00551EDD" w:rsidP="00A35B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onciniGaramondStd">
    <w:altName w:val="Calibr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36962955"/>
      <w:docPartObj>
        <w:docPartGallery w:val="Page Numbers (Bottom of Page)"/>
        <w:docPartUnique/>
      </w:docPartObj>
    </w:sdtPr>
    <w:sdtEndPr/>
    <w:sdtContent>
      <w:p w14:paraId="05D56FD0" w14:textId="77777777" w:rsidR="00A35B84" w:rsidRDefault="00A35B84">
        <w:pPr>
          <w:pStyle w:val="Piedepgina"/>
          <w:jc w:val="right"/>
        </w:pPr>
        <w:r>
          <w:fldChar w:fldCharType="begin"/>
        </w:r>
        <w:r>
          <w:instrText>PAGE   \* MERGEFORMAT</w:instrText>
        </w:r>
        <w:r>
          <w:fldChar w:fldCharType="separate"/>
        </w:r>
        <w:r w:rsidR="00B90A1D">
          <w:rPr>
            <w:noProof/>
          </w:rPr>
          <w:t>4</w:t>
        </w:r>
        <w:r>
          <w:fldChar w:fldCharType="end"/>
        </w:r>
      </w:p>
    </w:sdtContent>
  </w:sdt>
  <w:p w14:paraId="682F31BD" w14:textId="77777777" w:rsidR="00A35B84" w:rsidRDefault="00A35B8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ED1D70" w14:textId="77777777" w:rsidR="00551EDD" w:rsidRDefault="00551EDD" w:rsidP="00A35B84">
      <w:pPr>
        <w:spacing w:after="0" w:line="240" w:lineRule="auto"/>
      </w:pPr>
      <w:r>
        <w:separator/>
      </w:r>
    </w:p>
  </w:footnote>
  <w:footnote w:type="continuationSeparator" w:id="0">
    <w:p w14:paraId="73F8A68A" w14:textId="77777777" w:rsidR="00551EDD" w:rsidRDefault="00551EDD" w:rsidP="00A35B8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B52DE"/>
    <w:rsid w:val="000129E0"/>
    <w:rsid w:val="000147DB"/>
    <w:rsid w:val="000358B4"/>
    <w:rsid w:val="000460ED"/>
    <w:rsid w:val="00054EF2"/>
    <w:rsid w:val="00056517"/>
    <w:rsid w:val="00063282"/>
    <w:rsid w:val="00075B48"/>
    <w:rsid w:val="00075C73"/>
    <w:rsid w:val="000B277E"/>
    <w:rsid w:val="000B7B5A"/>
    <w:rsid w:val="000C22D8"/>
    <w:rsid w:val="000C46C2"/>
    <w:rsid w:val="000D1F8C"/>
    <w:rsid w:val="000D6CFA"/>
    <w:rsid w:val="000F066F"/>
    <w:rsid w:val="000F2335"/>
    <w:rsid w:val="001134C5"/>
    <w:rsid w:val="00127A0E"/>
    <w:rsid w:val="00136A60"/>
    <w:rsid w:val="001413A0"/>
    <w:rsid w:val="00167616"/>
    <w:rsid w:val="00173C29"/>
    <w:rsid w:val="001808D1"/>
    <w:rsid w:val="00194AA1"/>
    <w:rsid w:val="001B057E"/>
    <w:rsid w:val="001E19E1"/>
    <w:rsid w:val="00200B10"/>
    <w:rsid w:val="00212A7F"/>
    <w:rsid w:val="002150B6"/>
    <w:rsid w:val="00215686"/>
    <w:rsid w:val="002552AB"/>
    <w:rsid w:val="00257786"/>
    <w:rsid w:val="00265653"/>
    <w:rsid w:val="002738B7"/>
    <w:rsid w:val="002760D1"/>
    <w:rsid w:val="00280D22"/>
    <w:rsid w:val="00284A92"/>
    <w:rsid w:val="00294F0E"/>
    <w:rsid w:val="002B22FF"/>
    <w:rsid w:val="002B35FC"/>
    <w:rsid w:val="002B52DE"/>
    <w:rsid w:val="002E7572"/>
    <w:rsid w:val="002F1706"/>
    <w:rsid w:val="00322CFB"/>
    <w:rsid w:val="0032489B"/>
    <w:rsid w:val="0035315F"/>
    <w:rsid w:val="0037400B"/>
    <w:rsid w:val="003914E1"/>
    <w:rsid w:val="003944C7"/>
    <w:rsid w:val="003A635E"/>
    <w:rsid w:val="003B255F"/>
    <w:rsid w:val="003D42AD"/>
    <w:rsid w:val="003D7D34"/>
    <w:rsid w:val="003E2873"/>
    <w:rsid w:val="003F7EBE"/>
    <w:rsid w:val="004002A2"/>
    <w:rsid w:val="00410A87"/>
    <w:rsid w:val="00413263"/>
    <w:rsid w:val="00413CDC"/>
    <w:rsid w:val="00462721"/>
    <w:rsid w:val="004821C9"/>
    <w:rsid w:val="004A2217"/>
    <w:rsid w:val="004A4E07"/>
    <w:rsid w:val="004B0589"/>
    <w:rsid w:val="004B3AB8"/>
    <w:rsid w:val="004D06AD"/>
    <w:rsid w:val="004D0980"/>
    <w:rsid w:val="004E26C3"/>
    <w:rsid w:val="004F6FBA"/>
    <w:rsid w:val="005248C8"/>
    <w:rsid w:val="00527A52"/>
    <w:rsid w:val="005457B9"/>
    <w:rsid w:val="00551EDD"/>
    <w:rsid w:val="005708A1"/>
    <w:rsid w:val="0057399E"/>
    <w:rsid w:val="00576138"/>
    <w:rsid w:val="00584237"/>
    <w:rsid w:val="00593A91"/>
    <w:rsid w:val="005959DF"/>
    <w:rsid w:val="00596C1D"/>
    <w:rsid w:val="005A6309"/>
    <w:rsid w:val="005B61E8"/>
    <w:rsid w:val="005C0086"/>
    <w:rsid w:val="005D44A1"/>
    <w:rsid w:val="005F4001"/>
    <w:rsid w:val="0061427B"/>
    <w:rsid w:val="00624461"/>
    <w:rsid w:val="00627D24"/>
    <w:rsid w:val="00645C2D"/>
    <w:rsid w:val="006607D9"/>
    <w:rsid w:val="00666136"/>
    <w:rsid w:val="00690776"/>
    <w:rsid w:val="00691B7B"/>
    <w:rsid w:val="006A79AD"/>
    <w:rsid w:val="006B04A0"/>
    <w:rsid w:val="006B5ACE"/>
    <w:rsid w:val="006C3DEA"/>
    <w:rsid w:val="006D5B0F"/>
    <w:rsid w:val="00700414"/>
    <w:rsid w:val="00723C32"/>
    <w:rsid w:val="00726D6E"/>
    <w:rsid w:val="0073095C"/>
    <w:rsid w:val="00735C87"/>
    <w:rsid w:val="00761E86"/>
    <w:rsid w:val="007F61BB"/>
    <w:rsid w:val="008168A0"/>
    <w:rsid w:val="00833E91"/>
    <w:rsid w:val="00846C32"/>
    <w:rsid w:val="008547C7"/>
    <w:rsid w:val="008728AF"/>
    <w:rsid w:val="008A5F35"/>
    <w:rsid w:val="008A7692"/>
    <w:rsid w:val="00904276"/>
    <w:rsid w:val="0090491C"/>
    <w:rsid w:val="0090766D"/>
    <w:rsid w:val="0091655E"/>
    <w:rsid w:val="00953677"/>
    <w:rsid w:val="00961FDA"/>
    <w:rsid w:val="00977B60"/>
    <w:rsid w:val="00981021"/>
    <w:rsid w:val="00981603"/>
    <w:rsid w:val="009A4E87"/>
    <w:rsid w:val="009A5BFE"/>
    <w:rsid w:val="009B60A5"/>
    <w:rsid w:val="009C5B0E"/>
    <w:rsid w:val="009D2308"/>
    <w:rsid w:val="009D7A01"/>
    <w:rsid w:val="009F749B"/>
    <w:rsid w:val="00A0210C"/>
    <w:rsid w:val="00A10416"/>
    <w:rsid w:val="00A14284"/>
    <w:rsid w:val="00A23DF7"/>
    <w:rsid w:val="00A35B84"/>
    <w:rsid w:val="00A36712"/>
    <w:rsid w:val="00A5101F"/>
    <w:rsid w:val="00A6082B"/>
    <w:rsid w:val="00A60904"/>
    <w:rsid w:val="00A74261"/>
    <w:rsid w:val="00AC0DC6"/>
    <w:rsid w:val="00AC303A"/>
    <w:rsid w:val="00AC3719"/>
    <w:rsid w:val="00B04452"/>
    <w:rsid w:val="00B06355"/>
    <w:rsid w:val="00B20663"/>
    <w:rsid w:val="00B31FF1"/>
    <w:rsid w:val="00B33CD9"/>
    <w:rsid w:val="00B445AD"/>
    <w:rsid w:val="00B7097E"/>
    <w:rsid w:val="00B72C37"/>
    <w:rsid w:val="00B90A1D"/>
    <w:rsid w:val="00B9605A"/>
    <w:rsid w:val="00BA1388"/>
    <w:rsid w:val="00BB1174"/>
    <w:rsid w:val="00BB6CFE"/>
    <w:rsid w:val="00BD26BD"/>
    <w:rsid w:val="00BD404A"/>
    <w:rsid w:val="00BE0638"/>
    <w:rsid w:val="00BE2C11"/>
    <w:rsid w:val="00C073AE"/>
    <w:rsid w:val="00C24187"/>
    <w:rsid w:val="00C5785E"/>
    <w:rsid w:val="00C62CEF"/>
    <w:rsid w:val="00C72104"/>
    <w:rsid w:val="00C84676"/>
    <w:rsid w:val="00C878CE"/>
    <w:rsid w:val="00CA0472"/>
    <w:rsid w:val="00CA309D"/>
    <w:rsid w:val="00CA40E6"/>
    <w:rsid w:val="00CB4776"/>
    <w:rsid w:val="00D00789"/>
    <w:rsid w:val="00D13283"/>
    <w:rsid w:val="00D1577D"/>
    <w:rsid w:val="00D16143"/>
    <w:rsid w:val="00D32A10"/>
    <w:rsid w:val="00D603D2"/>
    <w:rsid w:val="00D6106B"/>
    <w:rsid w:val="00D61106"/>
    <w:rsid w:val="00D864A7"/>
    <w:rsid w:val="00D942DD"/>
    <w:rsid w:val="00D97F71"/>
    <w:rsid w:val="00DA4284"/>
    <w:rsid w:val="00DC6735"/>
    <w:rsid w:val="00DE077F"/>
    <w:rsid w:val="00E129FD"/>
    <w:rsid w:val="00E3352E"/>
    <w:rsid w:val="00E36FA5"/>
    <w:rsid w:val="00E47DC8"/>
    <w:rsid w:val="00E5368D"/>
    <w:rsid w:val="00E73EE5"/>
    <w:rsid w:val="00E83D76"/>
    <w:rsid w:val="00EA0493"/>
    <w:rsid w:val="00EB1B5E"/>
    <w:rsid w:val="00ED452A"/>
    <w:rsid w:val="00F16E0D"/>
    <w:rsid w:val="00F17652"/>
    <w:rsid w:val="00F3423F"/>
    <w:rsid w:val="00F5198E"/>
    <w:rsid w:val="00F77393"/>
    <w:rsid w:val="00F82829"/>
    <w:rsid w:val="00F8436B"/>
    <w:rsid w:val="00F91A24"/>
    <w:rsid w:val="00FC14F8"/>
    <w:rsid w:val="00FD3F82"/>
    <w:rsid w:val="00FD627C"/>
    <w:rsid w:val="00FD6C1D"/>
    <w:rsid w:val="00FF2E90"/>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DB142"/>
  <w15:docId w15:val="{5C76D33B-54E1-4BE3-860C-0424A5A0E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2D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846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84676"/>
    <w:rPr>
      <w:rFonts w:ascii="Tahoma" w:hAnsi="Tahoma" w:cs="Tahoma"/>
      <w:sz w:val="16"/>
      <w:szCs w:val="16"/>
    </w:rPr>
  </w:style>
  <w:style w:type="paragraph" w:styleId="Sangradetextonormal">
    <w:name w:val="Body Text Indent"/>
    <w:basedOn w:val="Normal"/>
    <w:link w:val="SangradetextonormalCar"/>
    <w:rsid w:val="002552AB"/>
    <w:pPr>
      <w:spacing w:after="0" w:line="240" w:lineRule="auto"/>
      <w:ind w:firstLine="708"/>
      <w:jc w:val="both"/>
    </w:pPr>
    <w:rPr>
      <w:rFonts w:ascii="Times New Roman" w:eastAsia="Times New Roman" w:hAnsi="Times New Roman" w:cs="Times New Roman"/>
      <w:sz w:val="24"/>
      <w:szCs w:val="24"/>
      <w:lang w:eastAsia="es-ES" w:bidi="ar-SA"/>
    </w:rPr>
  </w:style>
  <w:style w:type="character" w:customStyle="1" w:styleId="SangradetextonormalCar">
    <w:name w:val="Sangría de texto normal Car"/>
    <w:basedOn w:val="Fuentedeprrafopredeter"/>
    <w:link w:val="Sangradetextonormal"/>
    <w:rsid w:val="002552AB"/>
    <w:rPr>
      <w:rFonts w:ascii="Times New Roman" w:eastAsia="Times New Roman" w:hAnsi="Times New Roman" w:cs="Times New Roman"/>
      <w:sz w:val="24"/>
      <w:szCs w:val="24"/>
      <w:lang w:eastAsia="es-ES" w:bidi="ar-SA"/>
    </w:rPr>
  </w:style>
  <w:style w:type="paragraph" w:styleId="Encabezado">
    <w:name w:val="header"/>
    <w:basedOn w:val="Normal"/>
    <w:link w:val="EncabezadoCar"/>
    <w:uiPriority w:val="99"/>
    <w:unhideWhenUsed/>
    <w:rsid w:val="00A35B8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35B84"/>
  </w:style>
  <w:style w:type="paragraph" w:styleId="Piedepgina">
    <w:name w:val="footer"/>
    <w:basedOn w:val="Normal"/>
    <w:link w:val="PiedepginaCar"/>
    <w:uiPriority w:val="99"/>
    <w:unhideWhenUsed/>
    <w:rsid w:val="00A35B8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35B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144115">
      <w:bodyDiv w:val="1"/>
      <w:marLeft w:val="0"/>
      <w:marRight w:val="0"/>
      <w:marTop w:val="0"/>
      <w:marBottom w:val="0"/>
      <w:divBdr>
        <w:top w:val="none" w:sz="0" w:space="0" w:color="auto"/>
        <w:left w:val="none" w:sz="0" w:space="0" w:color="auto"/>
        <w:bottom w:val="none" w:sz="0" w:space="0" w:color="auto"/>
        <w:right w:val="none" w:sz="0" w:space="0" w:color="auto"/>
      </w:divBdr>
    </w:div>
    <w:div w:id="1253009293">
      <w:bodyDiv w:val="1"/>
      <w:marLeft w:val="0"/>
      <w:marRight w:val="0"/>
      <w:marTop w:val="0"/>
      <w:marBottom w:val="0"/>
      <w:divBdr>
        <w:top w:val="none" w:sz="0" w:space="0" w:color="auto"/>
        <w:left w:val="none" w:sz="0" w:space="0" w:color="auto"/>
        <w:bottom w:val="none" w:sz="0" w:space="0" w:color="auto"/>
        <w:right w:val="none" w:sz="0" w:space="0" w:color="auto"/>
      </w:divBdr>
    </w:div>
    <w:div w:id="1553347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FD69A85-F2FD-45C4-BF18-4C62E354A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14</Pages>
  <Words>6942</Words>
  <Characters>38187</Characters>
  <Application>Microsoft Office Word</Application>
  <DocSecurity>0</DocSecurity>
  <Lines>318</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Cristina</cp:lastModifiedBy>
  <cp:revision>20</cp:revision>
  <cp:lastPrinted>2016-10-17T20:29:00Z</cp:lastPrinted>
  <dcterms:created xsi:type="dcterms:W3CDTF">2016-04-15T16:49:00Z</dcterms:created>
  <dcterms:modified xsi:type="dcterms:W3CDTF">2020-11-19T11:33:00Z</dcterms:modified>
</cp:coreProperties>
</file>